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22" w:rsidRPr="0000198C" w:rsidRDefault="00DA592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ТОМСКОЙ ОБЛАСТИ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от 10 апреля 2014 г. N 131а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ОБ ИЗМЕНЕНИИ ПРОФИЛЯ ОСОБО ОХРАНЯЕМОЙ ПРИРОДНОЙ ТЕРРИТОРИИ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усиления режима особой охраны объектов животного мира, в соответствии с Федеральным </w:t>
      </w:r>
      <w:hyperlink r:id="rId4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 марта 1995 года N 33-ФЗ "Об особо охраняемых природных территориях", </w:t>
      </w:r>
      <w:hyperlink r:id="rId5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 от 12 августа 2005 года N 134-ОЗ "Об особо охраняемых природных территориях в Томской области" постановляю: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1. Изменить профиль особо охраняемой природной территории "Государственный комплексный (ландшафтный) заказник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 на профиль "Государственный зоологический заказник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hyperlink w:anchor="P33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государственном зоологическом заказнике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 согласно приложению N 1 к настоящему постановлению;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hyperlink w:anchor="P105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границы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зоологического заказника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 согласно приложению N 2 к настоящему постановлению;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3) схему государственного зоологического заказника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 согласно приложению N 3 к настоящему постановлению (не приводится).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6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2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Администрации Томской области от 07.06.2013 N 244а "Об изменении категории особо охраняемой природной территории" ("Собрание законодательства Томской области", N 7/1(96) от 15.07.2013) признать утратившим силу.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постановление вступает в силу по истечении 10 дней после дня его официального опубликования.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Губернатора Томской области по агропромышленной политике и природопользованию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Кнорра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А.Ф.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И.о. Губернатора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Томской области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А.М.ФЕДЕНЕВ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Томской области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от 10.04.2014 N 131а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3"/>
      <w:bookmarkEnd w:id="0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ГОСУДАРСТВЕННОМ ЗООЛОГИЧЕСКОМ ЗАКАЗНИКЕ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 ЗНАЧЕНИЯ "ПОЛЬТО"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</w:t>
      </w:r>
      <w:hyperlink r:id="rId7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Лесным </w:t>
      </w:r>
      <w:hyperlink r:id="rId8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от 14 марта 1995 года </w:t>
      </w:r>
      <w:hyperlink r:id="rId9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33-ФЗ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особо охраняемых природных территориях", от 10 января 2002 года </w:t>
      </w:r>
      <w:hyperlink r:id="rId10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7-ФЗ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охране окружающей среды", от 24 апреля 1995 года </w:t>
      </w:r>
      <w:hyperlink r:id="rId11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52-ФЗ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животном мире", </w:t>
      </w:r>
      <w:hyperlink r:id="rId12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природных ресурсов Российской Федерации от 16.07.2007 N 181 "Об утверждении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Особенностей использования, охраны, защиты, воспроизводства лесов, расположенных на особо охраняемых природных территориях", </w:t>
      </w:r>
      <w:hyperlink r:id="rId13" w:history="1">
        <w:r w:rsidRPr="000019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 от 12 августа 2005 года N 134-ОЗ "Об особо охраняемых природных территориях в Томской области".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2. Государственный зоологический заказник областного значения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(далее - Заказник) объявлен заказником областного значения, а территория, занятая им, является особо охраняемой природной территорией. Заказник расположен на территории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Томской области в границах, указанных в приложении N 3 (не приводится) к настоящему постановлению. Площадь Заказника составляет 149021 га, в том числе площадь заповедной зоны - 16263 га, площадь зоны ограниченного природопользования - 132758 га.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3. Государственное управление Заказником осуществляет исполнительный орган государственной власти Томской области в сфере организации, охраны и функционирования особо охраняемых природных территорий областного значения.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4. Администрацией Заказника является областное государственное бюджетное учреждение "Областное управление по охране и рациональному использованию животного мира Томской области" (далее - Администрация Заказника), которое обеспечивает функционирование и охрану Заказника.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Земельные участки на территории Заказника у собственников, землевладельцев, землепользователей, арендаторов не изымаются и используются ими с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для этих земельных участков особого правового режима и режима, установленного настоящим Положением.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6.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7. На территории Заказника запрещается или ограничивается любая деятельность, если она противоречит целям создания Заказника или может причинить вред природным комплексам и компонентам.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8.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9. Обеспечение режима особой охраны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других, не запрещенных законодательством источников.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2. ЦЕЛЬ, ЗАДАЧИ СОЗДАНИЯ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10. Целью образования Заказника является сохранение и восстановление численности редких и исчезающих видов животных, а также видов, ценных в хозяйственном и культурном отношении.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11. Задачами Заказника являются: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1) поддержание высокой численности животных, ценных в хозяйственном и культурном отношении;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2) охрана редких и исчезающих видов растений и животных и их местообитаний;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3) сохранение гидрологического режима уникальных природных ландшафтов озерно-речной системы "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3. РЕЖИМ ОСОБОЙ ОХРАНЫ ТЕРРИТОРИИ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12. На территории Заказника выделяются две функциональные зоны: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1) зона ограниченного природопользования, включающая участки территории Заказника, на которых разрешены виды деятельности, не противоречащие цели и задачам создания Заказника;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2) заповедная зона, включающая в себя участки территории Заказника, важные для воспроизводства животных, ценных в хозяйственном и культурном отношении, а также редких видов животных.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13. На территории Заказника запрещаются: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1) заготовка живицы;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2) проведение гидромелиоративных работ, в том числе осушение болот;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3) геологоразведочные изыскания и разработка полезных ископаемых;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4) взрывные работы, сельскохозяйственные палы и выжигание растительности;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5) авиационно-химические работы;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6) работы по изменению или обустройству природных водотоков, нарушающие их естественное происхождение;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7) применение токсичных химических препаратов для охраны и защиты лесов, а также ядов для регулирования численности животных;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8) размещение ме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ст скл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адирования, захоронения, уничтожения токсичных химических веществ и тары из-под них;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9) строительство зданий и сооружений, за исключением строительства в целях осуществления деятельности Заказника;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10) захламление мусором, отходами лесозаготовок и вырубок, устройство скотомогильников, сооружение полигонов захоронения отходов;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11) уничтожение и повреждение аншлагов, шлагбаумов, граничных столбов и других информационных знаков, а также оборудованных мест отдыха, нанесение надписей и знаков на деревьях.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14. На территории заповедной зоны запрещаются: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1) осуществление охоты и добыча объектов животного мира, отнесенных к охотничьим ресурсам;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2) сплошные рубки лесных насаждений;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3) размещение баз отдыха;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4) строительство линейных объектов и гидротехнических сооружений;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5) движение плавательных судов и иных моторизованных транспортных средств, за исключением проезда для проведения противопожарного обустройства лесов, проведения мониторинга пожарной безопасности в лесах, тушения лесного пожара, в целях осуществления деятельности Заказника.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15. Предоставление садовых, огородных и дачных участков, а также земельных участков под новое строительство запрещено.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16. Предоставление земельных участков и лесных участков для осуществления видов деятельности в сфере охотничьего хозяйства запрещено.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17. Пребывание граждан на территории Заказника может быть ограничено в целях обеспечения пожарной и санитарной безопасности в лесах.</w:t>
      </w:r>
    </w:p>
    <w:p w:rsidR="00DA5922" w:rsidRPr="0000198C" w:rsidRDefault="00DA59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3. ОТВЕТСТВЕННОСТЬ ЗА НАРУШЕНИЕ РЕЖИМА</w:t>
      </w: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ОСОБОЙ ОХРАНЫ ТЕРРИТОРИИ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Меры по пресечению нарушений установленного режима особой охраны территории Заказника осуществляются Управлением охотничьего хозяйства Томской области, Департаментом лесного хозяйства Томской области и Администрацией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Заказника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установленных действующим законодательством полномочий.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Физические и юридические лица обязаны соблюдать режим особой охраны территории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Заказника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несут за его нарушение ответственность в соответствии с действующим законодательством.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Томской области</w:t>
      </w:r>
    </w:p>
    <w:p w:rsidR="00DA5922" w:rsidRPr="0000198C" w:rsidRDefault="00DA592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от 10.04.2014 N 131а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05"/>
      <w:bookmarkEnd w:id="1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ГРАНИЦЫ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ЗООЛОГИЧЕСКОГО ЗАКАЗНИКА</w:t>
      </w:r>
    </w:p>
    <w:p w:rsidR="00DA5922" w:rsidRPr="0000198C" w:rsidRDefault="00DA59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 ЗНАЧЕНИЯ "ПОЛЬТО"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Северная - от северо-западного угла квартала 643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вверх по течению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восточной границы выдела 18 квартала 652 того же урочища, далее по восточным границам выделов 18, 23, 26, 25 квартала 652 того же урочища до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далее вниз по течению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места ее впадения в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, далее вверх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течению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северо-восточного угла квартала 653 того же урочища (акватория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Тым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указанного отрезка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границы Заказника не входит).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Восточная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 северо-восточного угла квартала 653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по восточным границам кварталов 653, 663, 678, 695, 709, 729, 749, 769, 782, 790, 792 того же урочища до юго-восточного угла квартала 792 того же урочища.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Южная - от юго-восточного угла квартала 792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по южной границе кварталов 792, 791 до юго-западного угла квартала 791 того же урочища, далее на север по западным границам кварталов 791, 789 до юго-восточного угла квартала 780 того же урочища, затем по южной границе кварталов 780, 779, 778, 777, 776 до юго-западного угла квартала 776 того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же урочища, далее по восточной границе квартала 788 до его юго-восточного угла, далее в западном направлении по южным границам кварталов 788, 787 до юго-западного угла квартала 787, далее в северном направлении по западным границам кварталов 787, 774 того же урочища до юго-восточного угла квартала 760, а затем по южным границам кварталов 760, 759, 758, 757, 756, 755, 754 до северо-восточного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угла квартала 773, далее на юг по восточной границе кварталов 773, 786, 785 того же урочища до юго-западного угла квартала 785, далее по южным границам кварталов 784, 783 до юго-западного угла квартала 783 того же урочища.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Западная - от юго-западного угла квартала 783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в северном направлении по западным границам кварталов 783, 770, 750, 730, 710, 680 того же урочища до пересечения с р. Черной, далее на запад по южной границе квартала 679 того же урочища до его юго-западного угла, затем в северном направлении по западным границам кварталов 679, 664, 643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северо-западного угла квартала 643 того же урочища.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населенного пункта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апас в состав Заказника не входит.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КООРДИНАТЫ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proofErr w:type="gram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ЗООЛОГИЧЕСКОГО</w:t>
      </w: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ЗАКАЗНИКА ОБЛАСТНОГО ЗНАЧЕНИЯ "ПОЛЬТО"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66"/>
        <w:gridCol w:w="1418"/>
        <w:gridCol w:w="1275"/>
        <w:gridCol w:w="1418"/>
        <w:gridCol w:w="1417"/>
        <w:gridCol w:w="1435"/>
      </w:tblGrid>
      <w:tr w:rsidR="00DA5922" w:rsidRPr="0000198C">
        <w:tc>
          <w:tcPr>
            <w:tcW w:w="1191" w:type="dxa"/>
            <w:vMerge w:val="restart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точки</w:t>
            </w:r>
          </w:p>
        </w:tc>
        <w:tc>
          <w:tcPr>
            <w:tcW w:w="3859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Долгота</w:t>
            </w:r>
          </w:p>
        </w:tc>
        <w:tc>
          <w:tcPr>
            <w:tcW w:w="4270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Широта</w:t>
            </w:r>
          </w:p>
        </w:tc>
      </w:tr>
      <w:tr w:rsidR="00DA5922" w:rsidRPr="0000198C">
        <w:tc>
          <w:tcPr>
            <w:tcW w:w="1191" w:type="dxa"/>
            <w:vMerge/>
          </w:tcPr>
          <w:p w:rsidR="00DA5922" w:rsidRPr="0000198C" w:rsidRDefault="00DA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22,28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59,38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27,11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10,92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44,71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23,08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53,04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50,14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14,90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53,12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11,85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27,45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21,32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50,83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50,17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7,30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20,64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10,58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49,23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50,22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38,19</w:t>
            </w:r>
          </w:p>
        </w:tc>
      </w:tr>
      <w:tr w:rsidR="00DA5922" w:rsidRPr="0000198C">
        <w:tc>
          <w:tcPr>
            <w:tcW w:w="1191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35,84</w:t>
            </w:r>
          </w:p>
        </w:tc>
      </w:tr>
    </w:tbl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ГРАНИЦЫ ЗАПОВЕДНОЙ ЗОНЫ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Заповедная зона расположена в центральной части Заказника в следующих границах: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Восточная: от места пересечения двух зимних дорог (точка 1) в квартале 670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по зимнику в направлении на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юго-юго-восток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сторону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пересечения с зимником в сторону пос. Напас в квартале 701 того же урочища (точка 2); далее по тому же зимнику до пересечения с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точке 3 и далее по зимнику до точки 4 - правый борт долины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Южная: от точки 4 вдоль борта долины р.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Польта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западном направлении до точки 5 и далее по зимнику до точки пересечения с зимником (точка 6), проходящим вдоль западного берега оз.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Польто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3-е на западной границе квартала 711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лесничества.</w:t>
      </w:r>
      <w:proofErr w:type="gramEnd"/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Западная: от точки 6 (пересечения зимников) на западной границе квартала 711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урочища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Верхне-Тымского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участкового лесничества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лесничества в общем направлении на </w:t>
      </w:r>
      <w:proofErr w:type="spell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северо-северо-восток</w:t>
      </w:r>
      <w:proofErr w:type="spellEnd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зимнику до места пересечения двух зимних дорог в квартале 670 того же урочища (точка 1).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Координаты заповедной зоны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66"/>
        <w:gridCol w:w="1418"/>
        <w:gridCol w:w="1275"/>
        <w:gridCol w:w="1418"/>
        <w:gridCol w:w="1417"/>
        <w:gridCol w:w="1435"/>
      </w:tblGrid>
      <w:tr w:rsidR="00DA5922" w:rsidRPr="0000198C">
        <w:tc>
          <w:tcPr>
            <w:tcW w:w="1134" w:type="dxa"/>
            <w:vMerge w:val="restart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точки</w:t>
            </w:r>
          </w:p>
        </w:tc>
        <w:tc>
          <w:tcPr>
            <w:tcW w:w="3859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Долгота</w:t>
            </w:r>
          </w:p>
        </w:tc>
        <w:tc>
          <w:tcPr>
            <w:tcW w:w="4270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Широта</w:t>
            </w:r>
          </w:p>
        </w:tc>
      </w:tr>
      <w:tr w:rsidR="00DA5922" w:rsidRPr="0000198C">
        <w:tc>
          <w:tcPr>
            <w:tcW w:w="1134" w:type="dxa"/>
            <w:vMerge/>
          </w:tcPr>
          <w:p w:rsidR="00DA5922" w:rsidRPr="0000198C" w:rsidRDefault="00DA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52,55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6,89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16,69</w:t>
            </w:r>
          </w:p>
        </w:tc>
      </w:tr>
    </w:tbl>
    <w:p w:rsidR="00DA5922" w:rsidRPr="0000198C" w:rsidRDefault="00DA592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DA5922" w:rsidRPr="0000198C" w:rsidSect="00314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ГРАНИЦЫ</w:t>
      </w: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ЗОНЫ ОГРАНИЧЕННОГО ПРИРОДОПОЛЬЗОВАНИЯ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Зона ограниченного природопользования располагается вокруг Заповедной зоны и занимает всю оставшуюся территорию по периферии Заказника.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Внешняя граница зоны ограниченного природопользования Заказника совпадает с внешними границами Заказника.</w:t>
      </w:r>
    </w:p>
    <w:p w:rsidR="00DA5922" w:rsidRPr="0000198C" w:rsidRDefault="00DA59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граница зоны ограниченного природопользования Заказника совпадает с внешней границей Заповедной зоны Заказника.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Координаты внешней границы зоны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ограниченного</w:t>
      </w:r>
      <w:proofErr w:type="gramEnd"/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природопользования Заказника</w:t>
      </w: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66"/>
        <w:gridCol w:w="1418"/>
        <w:gridCol w:w="1275"/>
        <w:gridCol w:w="1418"/>
        <w:gridCol w:w="1417"/>
        <w:gridCol w:w="1435"/>
      </w:tblGrid>
      <w:tr w:rsidR="00DA5922" w:rsidRPr="0000198C">
        <w:tc>
          <w:tcPr>
            <w:tcW w:w="1247" w:type="dxa"/>
            <w:vMerge w:val="restart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точки</w:t>
            </w:r>
          </w:p>
        </w:tc>
        <w:tc>
          <w:tcPr>
            <w:tcW w:w="3859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Долгота</w:t>
            </w:r>
          </w:p>
        </w:tc>
        <w:tc>
          <w:tcPr>
            <w:tcW w:w="4270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Широта</w:t>
            </w:r>
          </w:p>
        </w:tc>
      </w:tr>
      <w:tr w:rsidR="00DA5922" w:rsidRPr="0000198C">
        <w:tc>
          <w:tcPr>
            <w:tcW w:w="1247" w:type="dxa"/>
            <w:vMerge/>
          </w:tcPr>
          <w:p w:rsidR="00DA5922" w:rsidRPr="0000198C" w:rsidRDefault="00DA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22,28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59,38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27,11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10,92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44,71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23,08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53,04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50,14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14,90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53,12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11,85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27,45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48,62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21,32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50,83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50,17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7,30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20,64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10,58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49,23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37,53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50,22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38,19</w:t>
            </w:r>
          </w:p>
        </w:tc>
      </w:tr>
      <w:tr w:rsidR="00DA5922" w:rsidRPr="0000198C">
        <w:tc>
          <w:tcPr>
            <w:tcW w:w="124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35,84</w:t>
            </w:r>
          </w:p>
        </w:tc>
      </w:tr>
    </w:tbl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Координаты внутренней границы зоны </w:t>
      </w:r>
      <w:proofErr w:type="gramStart"/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ограниченного</w:t>
      </w:r>
      <w:proofErr w:type="gramEnd"/>
    </w:p>
    <w:p w:rsidR="00DA5922" w:rsidRPr="0000198C" w:rsidRDefault="00DA59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98C">
        <w:rPr>
          <w:rFonts w:ascii="Times New Roman" w:hAnsi="Times New Roman" w:cs="Times New Roman"/>
          <w:color w:val="000000" w:themeColor="text1"/>
          <w:sz w:val="24"/>
          <w:szCs w:val="24"/>
        </w:rPr>
        <w:t>природопользования Заказника</w:t>
      </w:r>
    </w:p>
    <w:p w:rsidR="00DA5922" w:rsidRPr="0000198C" w:rsidRDefault="00DA592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DA5922" w:rsidRPr="0000198C">
          <w:pgSz w:w="16838" w:h="11905"/>
          <w:pgMar w:top="1701" w:right="1134" w:bottom="850" w:left="1134" w:header="0" w:footer="0" w:gutter="0"/>
          <w:cols w:space="720"/>
        </w:sect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66"/>
        <w:gridCol w:w="1418"/>
        <w:gridCol w:w="1275"/>
        <w:gridCol w:w="1418"/>
        <w:gridCol w:w="1417"/>
        <w:gridCol w:w="1435"/>
      </w:tblGrid>
      <w:tr w:rsidR="00DA5922" w:rsidRPr="0000198C">
        <w:tc>
          <w:tcPr>
            <w:tcW w:w="1134" w:type="dxa"/>
            <w:vMerge w:val="restart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точки</w:t>
            </w:r>
          </w:p>
        </w:tc>
        <w:tc>
          <w:tcPr>
            <w:tcW w:w="3859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Долгота</w:t>
            </w:r>
          </w:p>
        </w:tc>
        <w:tc>
          <w:tcPr>
            <w:tcW w:w="4270" w:type="dxa"/>
            <w:gridSpan w:val="3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Широта</w:t>
            </w:r>
          </w:p>
        </w:tc>
      </w:tr>
      <w:tr w:rsidR="00DA5922" w:rsidRPr="0000198C">
        <w:tc>
          <w:tcPr>
            <w:tcW w:w="1134" w:type="dxa"/>
            <w:vMerge/>
          </w:tcPr>
          <w:p w:rsidR="00DA5922" w:rsidRPr="0000198C" w:rsidRDefault="00DA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град.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сек.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57,49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52,55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6,89</w:t>
            </w:r>
          </w:p>
        </w:tc>
      </w:tr>
      <w:tr w:rsidR="00DA5922" w:rsidRPr="0000198C">
        <w:tc>
          <w:tcPr>
            <w:tcW w:w="1134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6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32,36</w:t>
            </w:r>
          </w:p>
        </w:tc>
        <w:tc>
          <w:tcPr>
            <w:tcW w:w="1418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35" w:type="dxa"/>
            <w:vAlign w:val="center"/>
          </w:tcPr>
          <w:p w:rsidR="00DA5922" w:rsidRPr="0000198C" w:rsidRDefault="00DA59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16,69</w:t>
            </w:r>
          </w:p>
        </w:tc>
      </w:tr>
    </w:tbl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922" w:rsidRPr="0000198C" w:rsidRDefault="00DA59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74E" w:rsidRPr="0000198C" w:rsidRDefault="006437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374E" w:rsidRPr="0000198C" w:rsidSect="00E23F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922"/>
    <w:rsid w:val="0000198C"/>
    <w:rsid w:val="00066432"/>
    <w:rsid w:val="0064374E"/>
    <w:rsid w:val="00704262"/>
    <w:rsid w:val="00DA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7A8B2DA7CDAE4E171BECAB72AFDE85352599BBA9DD12B50ADEEA2D7Q1gBH" TargetMode="External"/><Relationship Id="rId13" Type="http://schemas.openxmlformats.org/officeDocument/2006/relationships/hyperlink" Target="consultantplus://offline/ref=8397A8B2DA7CDAE4E171BEDCB446A3EC53510496BB9ADA7E0DF2B5FF8012C70170C252FECF51CB2D67700AQ6g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97A8B2DA7CDAE4E171BECAB72AFDE850525D9EB9CC862901F8E0QAg7H" TargetMode="External"/><Relationship Id="rId12" Type="http://schemas.openxmlformats.org/officeDocument/2006/relationships/hyperlink" Target="consultantplus://offline/ref=8397A8B2DA7CDAE4E171A0D1A22AFDE8555F5398B1918C2158F4E2A0QDg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7A8B2DA7CDAE4E171BEDCB446A3EC53510496B599DE7F0AF2B5FF8012C70170C252FECF51CB2D67710EQ6g4H" TargetMode="External"/><Relationship Id="rId11" Type="http://schemas.openxmlformats.org/officeDocument/2006/relationships/hyperlink" Target="consultantplus://offline/ref=8397A8B2DA7CDAE4E171BECAB72AFDE853525893BA9DD12B50ADEEA2D7Q1gBH" TargetMode="External"/><Relationship Id="rId5" Type="http://schemas.openxmlformats.org/officeDocument/2006/relationships/hyperlink" Target="consultantplus://offline/ref=8397A8B2DA7CDAE4E171BEDCB446A3EC53510496BB9ADA7E0DF2B5FF8012C70170C252FECF51CB2D67700AQ6g3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97A8B2DA7CDAE4E171BECAB72AFDE853525998B69BD12B50ADEEA2D7Q1gBH" TargetMode="External"/><Relationship Id="rId4" Type="http://schemas.openxmlformats.org/officeDocument/2006/relationships/hyperlink" Target="consultantplus://offline/ref=8397A8B2DA7CDAE4E171BECAB72AFDE853525999B79AD12B50ADEEA2D71BCD56378D0BBC8B5CC82DQ6gFH" TargetMode="External"/><Relationship Id="rId9" Type="http://schemas.openxmlformats.org/officeDocument/2006/relationships/hyperlink" Target="consultantplus://offline/ref=8397A8B2DA7CDAE4E171BECAB72AFDE853525999B79AD12B50ADEEA2D71BCD56378D0BBC8B5CC82DQ6g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Колупаев</dc:creator>
  <cp:lastModifiedBy>Евгений Колупаев</cp:lastModifiedBy>
  <cp:revision>2</cp:revision>
  <dcterms:created xsi:type="dcterms:W3CDTF">2016-02-08T07:32:00Z</dcterms:created>
  <dcterms:modified xsi:type="dcterms:W3CDTF">2016-02-08T07:33:00Z</dcterms:modified>
</cp:coreProperties>
</file>