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663CA" w:rsidRPr="00F5647F" w:rsidTr="00AF0DFE">
        <w:tc>
          <w:tcPr>
            <w:tcW w:w="5069" w:type="dxa"/>
          </w:tcPr>
          <w:p w:rsidR="009663CA" w:rsidRPr="00F5647F" w:rsidRDefault="009663CA" w:rsidP="00AF0DF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:rsidR="009663CA" w:rsidRPr="00F5647F" w:rsidRDefault="009663CA" w:rsidP="00AF0DFE">
            <w:pPr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УТВЕРЖДАЮ</w:t>
            </w:r>
          </w:p>
          <w:p w:rsidR="009663CA" w:rsidRPr="00F5647F" w:rsidRDefault="009663CA" w:rsidP="00AF0DFE">
            <w:pPr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ОГБУ</w:t>
            </w:r>
            <w:proofErr w:type="spellEnd"/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Облохотуправление</w:t>
            </w:r>
            <w:proofErr w:type="spellEnd"/>
          </w:p>
          <w:p w:rsidR="009663CA" w:rsidRPr="00F5647F" w:rsidRDefault="009663CA" w:rsidP="00AF0DFE">
            <w:pPr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</w:p>
          <w:p w:rsidR="009663CA" w:rsidRPr="00F5647F" w:rsidRDefault="009663CA" w:rsidP="00AF0DFE">
            <w:pPr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 xml:space="preserve">_______________________ </w:t>
            </w:r>
            <w:proofErr w:type="spellStart"/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А.В</w:t>
            </w:r>
            <w:proofErr w:type="spellEnd"/>
            <w:r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. Агафонов</w:t>
            </w:r>
          </w:p>
          <w:p w:rsidR="009663CA" w:rsidRPr="00F5647F" w:rsidRDefault="009663CA" w:rsidP="00AF0DFE">
            <w:pPr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</w:p>
          <w:p w:rsidR="009663CA" w:rsidRPr="00F5647F" w:rsidRDefault="009663CA" w:rsidP="00AF0DFE">
            <w:pPr>
              <w:spacing w:after="160" w:line="254" w:lineRule="auto"/>
              <w:textAlignment w:val="baseline"/>
              <w:outlineLvl w:val="1"/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pacing w:val="1"/>
                <w:sz w:val="26"/>
                <w:szCs w:val="26"/>
              </w:rPr>
              <w:t>_______________</w:t>
            </w:r>
          </w:p>
          <w:p w:rsidR="009663CA" w:rsidRPr="00F5647F" w:rsidRDefault="009663CA" w:rsidP="00AF0DFE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5647F">
        <w:rPr>
          <w:rFonts w:ascii="PT Astra Serif" w:hAnsi="PT Astra Serif" w:cs="Times New Roman"/>
          <w:b/>
          <w:sz w:val="26"/>
          <w:szCs w:val="26"/>
        </w:rPr>
        <w:t>Программа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F5647F">
        <w:rPr>
          <w:rFonts w:ascii="PT Astra Serif" w:hAnsi="PT Astra Serif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5647F">
        <w:rPr>
          <w:rFonts w:ascii="PT Astra Serif" w:hAnsi="PT Astra Serif" w:cs="Times New Roman"/>
          <w:b/>
          <w:sz w:val="26"/>
          <w:szCs w:val="26"/>
        </w:rPr>
        <w:t xml:space="preserve">(далее - программа профилактики рисков причинения вреда) на </w:t>
      </w:r>
      <w:r w:rsidRPr="00F5647F">
        <w:rPr>
          <w:rFonts w:ascii="PT Astra Serif" w:hAnsi="PT Astra Serif"/>
          <w:b/>
          <w:sz w:val="26"/>
          <w:szCs w:val="26"/>
        </w:rPr>
        <w:t>202</w:t>
      </w:r>
      <w:r>
        <w:rPr>
          <w:rFonts w:ascii="PT Astra Serif" w:hAnsi="PT Astra Serif"/>
          <w:b/>
          <w:sz w:val="26"/>
          <w:szCs w:val="26"/>
        </w:rPr>
        <w:t xml:space="preserve">4 </w:t>
      </w:r>
      <w:r w:rsidRPr="00F5647F">
        <w:rPr>
          <w:rFonts w:ascii="PT Astra Serif" w:hAnsi="PT Astra Serif"/>
          <w:b/>
          <w:sz w:val="26"/>
          <w:szCs w:val="26"/>
        </w:rPr>
        <w:t>год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F5647F">
        <w:rPr>
          <w:rFonts w:ascii="PT Astra Serif" w:hAnsi="PT Astra Serif" w:cs="Times New Roman"/>
          <w:b/>
          <w:sz w:val="26"/>
          <w:szCs w:val="26"/>
        </w:rPr>
        <w:t xml:space="preserve">в </w:t>
      </w:r>
      <w:r w:rsidRPr="00F5647F">
        <w:rPr>
          <w:rFonts w:ascii="PT Astra Serif" w:hAnsi="PT Astra Serif"/>
          <w:b/>
          <w:sz w:val="26"/>
          <w:szCs w:val="26"/>
        </w:rPr>
        <w:t>области охраны и использования особо охраняемых природных территорий на территории Томской области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5647F">
        <w:rPr>
          <w:rFonts w:ascii="PT Astra Serif" w:hAnsi="PT Astra Serif" w:cs="Times New Roman"/>
          <w:b/>
          <w:sz w:val="26"/>
          <w:szCs w:val="26"/>
        </w:rPr>
        <w:t xml:space="preserve">Раздел 1. Анализ текущего состояния осуществления </w:t>
      </w:r>
      <w:r w:rsidRPr="00F5647F">
        <w:rPr>
          <w:rFonts w:ascii="PT Astra Serif" w:hAnsi="PT Astra Serif"/>
          <w:b/>
          <w:sz w:val="26"/>
          <w:szCs w:val="26"/>
        </w:rPr>
        <w:t xml:space="preserve">регионального государственного контроля (надзора) в области охраны и </w:t>
      </w:r>
      <w:proofErr w:type="gramStart"/>
      <w:r w:rsidRPr="00F5647F">
        <w:rPr>
          <w:rFonts w:ascii="PT Astra Serif" w:hAnsi="PT Astra Serif"/>
          <w:b/>
          <w:sz w:val="26"/>
          <w:szCs w:val="26"/>
        </w:rPr>
        <w:t>использования</w:t>
      </w:r>
      <w:proofErr w:type="gramEnd"/>
      <w:r w:rsidRPr="00F5647F">
        <w:rPr>
          <w:rFonts w:ascii="PT Astra Serif" w:hAnsi="PT Astra Serif"/>
          <w:b/>
          <w:sz w:val="26"/>
          <w:szCs w:val="26"/>
        </w:rPr>
        <w:t xml:space="preserve"> особо охраняемых природных территорий на территории Томской области</w:t>
      </w:r>
      <w:r w:rsidRPr="00F5647F">
        <w:rPr>
          <w:rFonts w:ascii="PT Astra Serif" w:hAnsi="PT Astra Serif" w:cs="Times New Roman"/>
          <w:b/>
          <w:sz w:val="26"/>
          <w:szCs w:val="26"/>
        </w:rPr>
        <w:t xml:space="preserve">, описание текущего уровня развития профилактической деятельности </w:t>
      </w:r>
      <w:r>
        <w:rPr>
          <w:rFonts w:ascii="PT Astra Serif" w:hAnsi="PT Astra Serif" w:cs="Times New Roman"/>
          <w:b/>
          <w:sz w:val="26"/>
          <w:szCs w:val="26"/>
        </w:rPr>
        <w:t>Областного государственного бюджетного учреждения «Областное управление по охране и рациональному использованию животного мира Томской области»</w:t>
      </w:r>
      <w:r w:rsidRPr="00F5647F">
        <w:rPr>
          <w:rFonts w:ascii="PT Astra Serif" w:hAnsi="PT Astra Serif" w:cs="Times New Roman"/>
          <w:b/>
          <w:sz w:val="26"/>
          <w:szCs w:val="26"/>
        </w:rPr>
        <w:t xml:space="preserve">, характеристика проблем, на решение которых направлена программа профилактики рисков причинения вреда 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63CA" w:rsidRPr="0046362C" w:rsidRDefault="009663CA" w:rsidP="009663CA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 w:rsidRPr="0046362C">
        <w:rPr>
          <w:rFonts w:ascii="PT Astra Serif" w:hAnsi="PT Astra Serif"/>
          <w:sz w:val="26"/>
          <w:szCs w:val="26"/>
        </w:rPr>
        <w:t xml:space="preserve">Региональный государственный контроль должен осуществляться </w:t>
      </w:r>
      <w:r w:rsidRPr="004E3689">
        <w:rPr>
          <w:rFonts w:ascii="PT Astra Serif" w:hAnsi="PT Astra Serif" w:cs="Times New Roman"/>
          <w:sz w:val="26"/>
          <w:szCs w:val="26"/>
        </w:rPr>
        <w:t>Областн</w:t>
      </w:r>
      <w:r>
        <w:rPr>
          <w:rFonts w:ascii="PT Astra Serif" w:hAnsi="PT Astra Serif" w:cs="Times New Roman"/>
          <w:sz w:val="26"/>
          <w:szCs w:val="26"/>
        </w:rPr>
        <w:t>ым</w:t>
      </w:r>
      <w:r w:rsidRPr="004E3689">
        <w:rPr>
          <w:rFonts w:ascii="PT Astra Serif" w:hAnsi="PT Astra Serif" w:cs="Times New Roman"/>
          <w:sz w:val="26"/>
          <w:szCs w:val="26"/>
        </w:rPr>
        <w:t xml:space="preserve"> государственн</w:t>
      </w:r>
      <w:r>
        <w:rPr>
          <w:rFonts w:ascii="PT Astra Serif" w:hAnsi="PT Astra Serif" w:cs="Times New Roman"/>
          <w:sz w:val="26"/>
          <w:szCs w:val="26"/>
        </w:rPr>
        <w:t>ым</w:t>
      </w:r>
      <w:r w:rsidRPr="004E3689">
        <w:rPr>
          <w:rFonts w:ascii="PT Astra Serif" w:hAnsi="PT Astra Serif" w:cs="Times New Roman"/>
          <w:sz w:val="26"/>
          <w:szCs w:val="26"/>
        </w:rPr>
        <w:t xml:space="preserve"> бюджетн</w:t>
      </w:r>
      <w:r>
        <w:rPr>
          <w:rFonts w:ascii="PT Astra Serif" w:hAnsi="PT Astra Serif" w:cs="Times New Roman"/>
          <w:sz w:val="26"/>
          <w:szCs w:val="26"/>
        </w:rPr>
        <w:t>ым</w:t>
      </w:r>
      <w:r w:rsidRPr="004E3689">
        <w:rPr>
          <w:rFonts w:ascii="PT Astra Serif" w:hAnsi="PT Astra Serif" w:cs="Times New Roman"/>
          <w:sz w:val="26"/>
          <w:szCs w:val="26"/>
        </w:rPr>
        <w:t xml:space="preserve"> учреждени</w:t>
      </w:r>
      <w:r>
        <w:rPr>
          <w:rFonts w:ascii="PT Astra Serif" w:hAnsi="PT Astra Serif" w:cs="Times New Roman"/>
          <w:sz w:val="26"/>
          <w:szCs w:val="26"/>
        </w:rPr>
        <w:t>ем</w:t>
      </w:r>
      <w:r w:rsidRPr="004E3689">
        <w:rPr>
          <w:rFonts w:ascii="PT Astra Serif" w:hAnsi="PT Astra Serif" w:cs="Times New Roman"/>
          <w:sz w:val="26"/>
          <w:szCs w:val="26"/>
        </w:rPr>
        <w:t xml:space="preserve"> «Областное управление по охране и рациональному использованию животного мира Томской области»</w:t>
      </w:r>
      <w:r w:rsidRPr="0046362C">
        <w:rPr>
          <w:rFonts w:ascii="PT Astra Serif" w:hAnsi="PT Astra Serif"/>
          <w:sz w:val="26"/>
          <w:szCs w:val="26"/>
        </w:rPr>
        <w:t xml:space="preserve"> </w:t>
      </w:r>
      <w:r w:rsidRPr="0046362C">
        <w:rPr>
          <w:rFonts w:ascii="PT Astra Serif" w:hAnsi="PT Astra Serif" w:cs="Times New Roman"/>
          <w:sz w:val="26"/>
          <w:szCs w:val="26"/>
        </w:rPr>
        <w:t xml:space="preserve">(далее </w:t>
      </w:r>
      <w:r>
        <w:rPr>
          <w:rFonts w:ascii="PT Astra Serif" w:hAnsi="PT Astra Serif" w:cs="Times New Roman"/>
          <w:sz w:val="26"/>
          <w:szCs w:val="26"/>
        </w:rPr>
        <w:t>–</w:t>
      </w:r>
      <w:r w:rsidRPr="004636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«</w:t>
      </w:r>
      <w:proofErr w:type="spellStart"/>
      <w:r>
        <w:rPr>
          <w:rFonts w:ascii="PT Astra Serif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 w:cs="Times New Roman"/>
          <w:sz w:val="26"/>
          <w:szCs w:val="26"/>
        </w:rPr>
        <w:t>»</w:t>
      </w:r>
      <w:r w:rsidRPr="0046362C">
        <w:rPr>
          <w:rFonts w:ascii="PT Astra Serif" w:hAnsi="PT Astra Serif" w:cs="Times New Roman"/>
          <w:sz w:val="26"/>
          <w:szCs w:val="26"/>
        </w:rPr>
        <w:t xml:space="preserve">) </w:t>
      </w:r>
      <w:r w:rsidRPr="0046362C">
        <w:rPr>
          <w:rFonts w:ascii="PT Astra Serif" w:hAnsi="PT Astra Serif"/>
          <w:sz w:val="26"/>
          <w:szCs w:val="26"/>
        </w:rPr>
        <w:t>на особо охраняемых природных территориях регионального значения - государственных природных заказниках зоологического профиля, которые не находятся под управлением Департамент</w:t>
      </w:r>
      <w:r>
        <w:rPr>
          <w:rFonts w:ascii="PT Astra Serif" w:hAnsi="PT Astra Serif"/>
          <w:sz w:val="26"/>
          <w:szCs w:val="26"/>
        </w:rPr>
        <w:t>а</w:t>
      </w:r>
      <w:r w:rsidRPr="0046362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охотничьего и рыбного хозяйства Томской области </w:t>
      </w:r>
      <w:r w:rsidRPr="0046362C">
        <w:rPr>
          <w:rFonts w:ascii="PT Astra Serif" w:hAnsi="PT Astra Serif" w:cs="Times New Roman"/>
          <w:sz w:val="26"/>
          <w:szCs w:val="26"/>
        </w:rPr>
        <w:t xml:space="preserve">(далее – </w:t>
      </w:r>
      <w:r>
        <w:rPr>
          <w:rFonts w:ascii="PT Astra Serif" w:hAnsi="PT Astra Serif" w:cs="Times New Roman"/>
          <w:sz w:val="26"/>
          <w:szCs w:val="26"/>
        </w:rPr>
        <w:t>Департамента</w:t>
      </w:r>
      <w:r w:rsidRPr="0046362C">
        <w:rPr>
          <w:rFonts w:ascii="PT Astra Serif" w:hAnsi="PT Astra Serif" w:cs="Times New Roman"/>
          <w:sz w:val="26"/>
          <w:szCs w:val="26"/>
        </w:rPr>
        <w:t>)</w:t>
      </w:r>
      <w:r w:rsidRPr="0046362C">
        <w:rPr>
          <w:rFonts w:ascii="PT Astra Serif" w:hAnsi="PT Astra Serif"/>
          <w:sz w:val="26"/>
          <w:szCs w:val="26"/>
        </w:rPr>
        <w:t>.</w:t>
      </w:r>
    </w:p>
    <w:p w:rsidR="009663CA" w:rsidRPr="0046362C" w:rsidRDefault="009663CA" w:rsidP="009663CA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6362C">
        <w:rPr>
          <w:rFonts w:ascii="PT Astra Serif" w:hAnsi="PT Astra Serif" w:cs="Times New Roman"/>
          <w:sz w:val="26"/>
          <w:szCs w:val="26"/>
        </w:rPr>
        <w:t xml:space="preserve">В настоящее время на территории Томской области </w:t>
      </w:r>
      <w:proofErr w:type="spellStart"/>
      <w:r>
        <w:rPr>
          <w:rFonts w:ascii="PT Astra Serif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«</w:t>
      </w:r>
      <w:proofErr w:type="spellStart"/>
      <w:r w:rsidRPr="0046362C">
        <w:rPr>
          <w:rFonts w:ascii="PT Astra Serif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 w:cs="Times New Roman"/>
          <w:sz w:val="26"/>
          <w:szCs w:val="26"/>
        </w:rPr>
        <w:t>»</w:t>
      </w:r>
      <w:r w:rsidRPr="0046362C">
        <w:rPr>
          <w:rFonts w:ascii="PT Astra Serif" w:hAnsi="PT Astra Serif" w:cs="Times New Roman"/>
          <w:sz w:val="26"/>
          <w:szCs w:val="26"/>
        </w:rPr>
        <w:t xml:space="preserve">  осуществляет  региональный государственный контроль (надзор) 14 особо охраняемых природных территорий областного значения - государственных природных заказников зоологического профиля (далее – заказники), общей площадью 700 тысяч га, что составляет 56 процентов площади всех особо охраняемых природных территорий областного значения и 2,2 процентов площади региона.</w:t>
      </w:r>
    </w:p>
    <w:p w:rsidR="009663CA" w:rsidRPr="0046362C" w:rsidRDefault="009663CA" w:rsidP="009663CA">
      <w:pPr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6362C">
        <w:rPr>
          <w:rFonts w:ascii="PT Astra Serif" w:hAnsi="PT Astra Serif" w:cs="PT Astra Serif"/>
          <w:sz w:val="26"/>
          <w:szCs w:val="26"/>
        </w:rPr>
        <w:t xml:space="preserve">В связи с </w:t>
      </w:r>
      <w:r>
        <w:rPr>
          <w:rFonts w:ascii="PT Astra Serif" w:hAnsi="PT Astra Serif" w:cs="PT Astra Serif"/>
          <w:sz w:val="26"/>
          <w:szCs w:val="26"/>
        </w:rPr>
        <w:t xml:space="preserve">этим </w:t>
      </w:r>
      <w:r w:rsidRPr="0046362C">
        <w:rPr>
          <w:rFonts w:ascii="PT Astra Serif" w:hAnsi="PT Astra Serif" w:cs="PT Astra Serif"/>
          <w:sz w:val="26"/>
          <w:szCs w:val="26"/>
        </w:rPr>
        <w:t xml:space="preserve">плановые/внеплановые проверки и иная методическая профилактическая работа </w:t>
      </w:r>
      <w:r w:rsidRPr="0046362C">
        <w:rPr>
          <w:rFonts w:ascii="PT Astra Serif" w:hAnsi="PT Astra Serif"/>
          <w:sz w:val="26"/>
          <w:szCs w:val="26"/>
        </w:rPr>
        <w:t xml:space="preserve">с юридическими лицами и индивидуальными предпринимателями, гражданами, направленная на предотвращение нарушений режима </w:t>
      </w:r>
      <w:proofErr w:type="spellStart"/>
      <w:r w:rsidRPr="0046362C">
        <w:rPr>
          <w:rFonts w:ascii="PT Astra Serif" w:hAnsi="PT Astra Serif"/>
          <w:sz w:val="26"/>
          <w:szCs w:val="26"/>
        </w:rPr>
        <w:t>ООПТ</w:t>
      </w:r>
      <w:proofErr w:type="spellEnd"/>
      <w:r w:rsidRPr="0046362C">
        <w:rPr>
          <w:rFonts w:ascii="PT Astra Serif" w:hAnsi="PT Astra Serif"/>
          <w:sz w:val="26"/>
          <w:szCs w:val="26"/>
        </w:rPr>
        <w:t xml:space="preserve">, </w:t>
      </w:r>
      <w:r w:rsidRPr="0046362C">
        <w:rPr>
          <w:rFonts w:ascii="PT Astra Serif" w:hAnsi="PT Astra Serif" w:cs="PT Astra Serif"/>
          <w:sz w:val="26"/>
          <w:szCs w:val="26"/>
        </w:rPr>
        <w:t>осуществля</w:t>
      </w:r>
      <w:r>
        <w:rPr>
          <w:rFonts w:ascii="PT Astra Serif" w:hAnsi="PT Astra Serif" w:cs="PT Astra Serif"/>
          <w:sz w:val="26"/>
          <w:szCs w:val="26"/>
        </w:rPr>
        <w:t xml:space="preserve">ется сотрудниками </w:t>
      </w:r>
      <w:proofErr w:type="spellStart"/>
      <w:r>
        <w:rPr>
          <w:rFonts w:ascii="PT Astra Serif" w:hAnsi="PT Astra Serif" w:cs="PT Astra Serif"/>
          <w:sz w:val="26"/>
          <w:szCs w:val="26"/>
        </w:rPr>
        <w:t>ОГБУ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«</w:t>
      </w:r>
      <w:proofErr w:type="spellStart"/>
      <w:r>
        <w:rPr>
          <w:rFonts w:ascii="PT Astra Serif" w:hAnsi="PT Astra Serif" w:cs="PT Astra Serif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 w:cs="PT Astra Serif"/>
          <w:sz w:val="26"/>
          <w:szCs w:val="26"/>
        </w:rPr>
        <w:t>»</w:t>
      </w:r>
      <w:r w:rsidRPr="0046362C">
        <w:rPr>
          <w:rFonts w:ascii="PT Astra Serif" w:hAnsi="PT Astra Serif" w:cs="PT Astra Serif"/>
          <w:sz w:val="26"/>
          <w:szCs w:val="26"/>
        </w:rPr>
        <w:t>.</w:t>
      </w:r>
    </w:p>
    <w:p w:rsidR="009663CA" w:rsidRPr="00F5647F" w:rsidRDefault="009663CA" w:rsidP="009663CA">
      <w:pPr>
        <w:pStyle w:val="ConsPlusNormal"/>
        <w:ind w:firstLine="709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ОГБУ</w:t>
      </w:r>
      <w:proofErr w:type="spellEnd"/>
      <w:r>
        <w:rPr>
          <w:rFonts w:ascii="PT Astra Serif" w:hAnsi="PT Astra Serif"/>
        </w:rPr>
        <w:t xml:space="preserve"> «</w:t>
      </w:r>
      <w:proofErr w:type="spellStart"/>
      <w:r>
        <w:rPr>
          <w:rFonts w:ascii="PT Astra Serif" w:hAnsi="PT Astra Serif"/>
        </w:rPr>
        <w:t>Облохотуправление</w:t>
      </w:r>
      <w:proofErr w:type="spellEnd"/>
      <w:r>
        <w:rPr>
          <w:rFonts w:ascii="PT Astra Serif" w:hAnsi="PT Astra Serif"/>
        </w:rPr>
        <w:t>»</w:t>
      </w:r>
      <w:r w:rsidRPr="00F5647F">
        <w:rPr>
          <w:rFonts w:ascii="PT Astra Serif" w:hAnsi="PT Astra Serif"/>
        </w:rPr>
        <w:t xml:space="preserve"> в целях предупреждения нарушений юридическими лицами, индивидуальными предпринимателями, гражданами обязательных требований законодательства в области охраны </w:t>
      </w:r>
      <w:proofErr w:type="spellStart"/>
      <w:r w:rsidRPr="00F5647F">
        <w:rPr>
          <w:rFonts w:ascii="PT Astra Serif" w:hAnsi="PT Astra Serif"/>
        </w:rPr>
        <w:t>ООПТ</w:t>
      </w:r>
      <w:proofErr w:type="spellEnd"/>
      <w:r w:rsidRPr="00F5647F">
        <w:rPr>
          <w:rFonts w:ascii="PT Astra Serif" w:hAnsi="PT Astra Serif"/>
        </w:rPr>
        <w:t>,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требований, в том числе:</w:t>
      </w:r>
    </w:p>
    <w:p w:rsidR="009663CA" w:rsidRPr="00F5647F" w:rsidRDefault="009663CA" w:rsidP="009663CA">
      <w:pPr>
        <w:pStyle w:val="ConsPlusNormal"/>
        <w:ind w:firstLine="709"/>
        <w:jc w:val="both"/>
        <w:rPr>
          <w:rFonts w:ascii="PT Astra Serif" w:hAnsi="PT Astra Serif"/>
        </w:rPr>
      </w:pPr>
      <w:r w:rsidRPr="00F5647F">
        <w:rPr>
          <w:rFonts w:ascii="PT Astra Serif" w:hAnsi="PT Astra Serif"/>
        </w:rPr>
        <w:t>1) обеспечение размещения на официальном сайте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</w:t>
      </w:r>
      <w:r>
        <w:rPr>
          <w:rFonts w:ascii="PT Astra Serif" w:hAnsi="PT Astra Serif"/>
        </w:rPr>
        <w:t xml:space="preserve"> </w:t>
      </w:r>
      <w:r w:rsidRPr="00F5647F">
        <w:rPr>
          <w:rFonts w:ascii="PT Astra Serif" w:hAnsi="PT Astra Serif"/>
        </w:rPr>
        <w:t>соответствующих нормативных правовых актов;</w:t>
      </w:r>
    </w:p>
    <w:p w:rsidR="009663CA" w:rsidRPr="00F5647F" w:rsidRDefault="009663CA" w:rsidP="009663CA">
      <w:pPr>
        <w:pStyle w:val="ConsPlusNormal"/>
        <w:ind w:firstLine="709"/>
        <w:jc w:val="both"/>
        <w:rPr>
          <w:rFonts w:ascii="PT Astra Serif" w:hAnsi="PT Astra Serif"/>
        </w:rPr>
      </w:pPr>
      <w:r w:rsidRPr="00F5647F">
        <w:rPr>
          <w:rFonts w:ascii="PT Astra Serif" w:hAnsi="PT Astra Serif"/>
        </w:rPr>
        <w:t xml:space="preserve">2) осуществление информирования юридических лиц и индивидуальных предпринимателей, граждан по вопросам соблюдения обязательных требований, в том </w:t>
      </w:r>
      <w:r w:rsidRPr="00F5647F">
        <w:rPr>
          <w:rFonts w:ascii="PT Astra Serif" w:hAnsi="PT Astra Serif"/>
        </w:rPr>
        <w:lastRenderedPageBreak/>
        <w:t>числе посредством проведения совещаний, семинаров и конференций, проведение разъяснительной работы в средствах массовой информации и иными способами.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9663CA" w:rsidRPr="001942F3" w:rsidRDefault="009663CA" w:rsidP="009663CA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3</w:t>
      </w:r>
      <w:r w:rsidRPr="00F5647F">
        <w:rPr>
          <w:rFonts w:ascii="PT Astra Serif" w:hAnsi="PT Astra Serif"/>
        </w:rPr>
        <w:t xml:space="preserve">) обеспечение регулярного (не реже одного раза в год) обобщения практики осуществления контрольной (надзорной) деятельности в сфере компетенции </w:t>
      </w:r>
      <w:proofErr w:type="spellStart"/>
      <w:r>
        <w:rPr>
          <w:rFonts w:ascii="PT Astra Serif" w:hAnsi="PT Astra Serif"/>
        </w:rPr>
        <w:t>ОГБУ</w:t>
      </w:r>
      <w:proofErr w:type="spellEnd"/>
      <w:r>
        <w:rPr>
          <w:rFonts w:ascii="PT Astra Serif" w:hAnsi="PT Astra Serif"/>
        </w:rPr>
        <w:t xml:space="preserve"> «</w:t>
      </w:r>
      <w:proofErr w:type="spellStart"/>
      <w:r>
        <w:rPr>
          <w:rFonts w:ascii="PT Astra Serif" w:hAnsi="PT Astra Serif"/>
        </w:rPr>
        <w:t>Облохотуправление</w:t>
      </w:r>
      <w:proofErr w:type="spellEnd"/>
      <w:r>
        <w:rPr>
          <w:rFonts w:ascii="PT Astra Serif" w:hAnsi="PT Astra Serif"/>
        </w:rPr>
        <w:t>»</w:t>
      </w:r>
      <w:r w:rsidRPr="00F5647F">
        <w:rPr>
          <w:rFonts w:ascii="PT Astra Serif" w:hAnsi="PT Astra Serif"/>
        </w:rPr>
        <w:t xml:space="preserve"> и размещение на официальном сайте в информационно-</w:t>
      </w:r>
      <w:r w:rsidRPr="001942F3">
        <w:rPr>
          <w:rFonts w:ascii="PT Astra Serif" w:hAnsi="PT Astra Serif"/>
        </w:rPr>
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proofErr w:type="gramEnd"/>
      <w:r w:rsidRPr="001942F3">
        <w:rPr>
          <w:rFonts w:ascii="PT Astra Serif" w:hAnsi="PT Astra Serif"/>
        </w:rPr>
        <w:t xml:space="preserve">. </w:t>
      </w:r>
    </w:p>
    <w:p w:rsidR="009663CA" w:rsidRPr="008F2D60" w:rsidRDefault="009663CA" w:rsidP="009663CA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1942F3">
        <w:rPr>
          <w:rFonts w:ascii="PT Astra Serif" w:hAnsi="PT Astra Serif" w:cs="Times New Roman"/>
          <w:sz w:val="26"/>
          <w:szCs w:val="26"/>
        </w:rPr>
        <w:t>4) предостережения о недопустимости нарушений обязательных требований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1942F3">
        <w:rPr>
          <w:rFonts w:ascii="PT Astra Serif" w:hAnsi="PT Astra Serif" w:cs="Times New Roman"/>
          <w:sz w:val="26"/>
          <w:szCs w:val="26"/>
        </w:rPr>
        <w:t>в рамках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1942F3">
        <w:rPr>
          <w:rFonts w:ascii="PT Astra Serif" w:hAnsi="PT Astra Serif" w:cs="Times New Roman"/>
          <w:sz w:val="26"/>
          <w:szCs w:val="26"/>
        </w:rPr>
        <w:t>регионального государственного</w:t>
      </w:r>
      <w:r w:rsidRPr="00F5647F">
        <w:rPr>
          <w:rFonts w:ascii="PT Astra Serif" w:hAnsi="PT Astra Serif" w:cs="Times New Roman"/>
          <w:sz w:val="26"/>
          <w:szCs w:val="26"/>
        </w:rPr>
        <w:t xml:space="preserve"> надзора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F5647F">
        <w:rPr>
          <w:rFonts w:ascii="PT Astra Serif" w:hAnsi="PT Astra Serif" w:cs="Times New Roman"/>
          <w:sz w:val="26"/>
          <w:szCs w:val="26"/>
        </w:rPr>
        <w:t>не выдавались.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5647F">
        <w:rPr>
          <w:rFonts w:ascii="PT Astra Serif" w:hAnsi="PT Astra Serif" w:cs="Times New Roman"/>
          <w:sz w:val="26"/>
          <w:szCs w:val="26"/>
        </w:rPr>
        <w:t xml:space="preserve">Основной проблемой, которая должна быть решена при реализации данной программы, является низкий уровень правовой грамотности субъектов надзора, который </w:t>
      </w:r>
      <w:r>
        <w:rPr>
          <w:rFonts w:ascii="PT Astra Serif" w:hAnsi="PT Astra Serif" w:cs="Times New Roman"/>
          <w:sz w:val="26"/>
          <w:szCs w:val="26"/>
        </w:rPr>
        <w:t>может привести</w:t>
      </w:r>
      <w:r w:rsidRPr="00F5647F">
        <w:rPr>
          <w:rFonts w:ascii="PT Astra Serif" w:hAnsi="PT Astra Serif" w:cs="Times New Roman"/>
          <w:sz w:val="26"/>
          <w:szCs w:val="26"/>
        </w:rPr>
        <w:t xml:space="preserve"> к возникновению причинения вреда окружающей среде, либо к угрозе причинения вреда.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b/>
          <w:sz w:val="26"/>
          <w:szCs w:val="26"/>
        </w:rPr>
        <w:t xml:space="preserve">Раздел 2. Цели и задачи </w:t>
      </w:r>
      <w:proofErr w:type="gramStart"/>
      <w:r w:rsidRPr="00F5647F">
        <w:rPr>
          <w:rFonts w:ascii="PT Astra Serif" w:eastAsia="Times New Roman" w:hAnsi="PT Astra Serif" w:cs="Times New Roman"/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Целями профилактической работы являются: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Задачами профилактической работы являются: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1) выявление и анализ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2) повышение прозрачности контрольной (надзорной) деятельности;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3) рост уровня правовой грамотности контролируемых лиц в области охраны и использования особо охраняемых природных территорий областного значения – государственных природных заказников зоологического профиля.</w:t>
      </w:r>
    </w:p>
    <w:p w:rsidR="009663CA" w:rsidRPr="00F5647F" w:rsidRDefault="009663CA" w:rsidP="009663CA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5647F">
        <w:rPr>
          <w:rFonts w:ascii="PT Astra Serif" w:hAnsi="PT Astra Serif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может проводить следующие профилактические мероприятия: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1)</w:t>
      </w:r>
      <w:r w:rsidRPr="00F5647F">
        <w:rPr>
          <w:rFonts w:ascii="PT Astra Serif" w:hAnsi="PT Astra Serif"/>
          <w:b w:val="0"/>
          <w:sz w:val="26"/>
          <w:szCs w:val="26"/>
        </w:rPr>
        <w:tab/>
        <w:t>информирование;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2)</w:t>
      </w:r>
      <w:r w:rsidRPr="00F5647F">
        <w:rPr>
          <w:rFonts w:ascii="PT Astra Serif" w:hAnsi="PT Astra Serif"/>
          <w:b w:val="0"/>
          <w:sz w:val="26"/>
          <w:szCs w:val="26"/>
        </w:rPr>
        <w:tab/>
        <w:t>обобщение правоприменительной практики;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3)</w:t>
      </w:r>
      <w:r w:rsidRPr="00F5647F">
        <w:rPr>
          <w:rFonts w:ascii="PT Astra Serif" w:hAnsi="PT Astra Serif"/>
          <w:b w:val="0"/>
          <w:sz w:val="26"/>
          <w:szCs w:val="26"/>
        </w:rPr>
        <w:tab/>
        <w:t>объявление предостережения;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4)</w:t>
      </w:r>
      <w:r w:rsidRPr="00F5647F">
        <w:rPr>
          <w:rFonts w:ascii="PT Astra Serif" w:hAnsi="PT Astra Serif"/>
          <w:b w:val="0"/>
          <w:sz w:val="26"/>
          <w:szCs w:val="26"/>
        </w:rPr>
        <w:tab/>
        <w:t>консультирование;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5)</w:t>
      </w:r>
      <w:r w:rsidRPr="00F5647F">
        <w:rPr>
          <w:rFonts w:ascii="PT Astra Serif" w:hAnsi="PT Astra Serif"/>
          <w:b w:val="0"/>
          <w:sz w:val="26"/>
          <w:szCs w:val="26"/>
        </w:rPr>
        <w:tab/>
        <w:t>профилактический визит.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В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подразделением, ответственным за реализацию </w:t>
      </w:r>
      <w:r w:rsidRPr="00F5647F">
        <w:rPr>
          <w:rFonts w:ascii="PT Astra Serif" w:hAnsi="PT Astra Serif"/>
          <w:b w:val="0"/>
          <w:sz w:val="26"/>
          <w:szCs w:val="26"/>
        </w:rPr>
        <w:lastRenderedPageBreak/>
        <w:t xml:space="preserve">профилактических мероприятий, является </w:t>
      </w:r>
      <w:r>
        <w:rPr>
          <w:rFonts w:ascii="PT Astra Serif" w:hAnsi="PT Astra Serif"/>
          <w:b w:val="0"/>
          <w:sz w:val="26"/>
          <w:szCs w:val="26"/>
        </w:rPr>
        <w:t xml:space="preserve">отдел охраны заказников и государственного экологического надзора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(далее – </w:t>
      </w:r>
      <w:r>
        <w:rPr>
          <w:rFonts w:ascii="PT Astra Serif" w:hAnsi="PT Astra Serif"/>
          <w:b w:val="0"/>
          <w:sz w:val="26"/>
          <w:szCs w:val="26"/>
        </w:rPr>
        <w:t>отдел охраны заказников</w:t>
      </w:r>
      <w:r w:rsidRPr="00F5647F">
        <w:rPr>
          <w:rFonts w:ascii="PT Astra Serif" w:hAnsi="PT Astra Serif"/>
          <w:b w:val="0"/>
          <w:sz w:val="26"/>
          <w:szCs w:val="26"/>
        </w:rPr>
        <w:t>).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</w:p>
    <w:p w:rsidR="009663CA" w:rsidRPr="00F5647F" w:rsidRDefault="009663CA" w:rsidP="009663CA">
      <w:pPr>
        <w:pStyle w:val="ConsPlusTitle"/>
        <w:contextualSpacing/>
        <w:jc w:val="center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Информирование</w:t>
      </w:r>
    </w:p>
    <w:p w:rsidR="009663CA" w:rsidRPr="00F5647F" w:rsidRDefault="009663CA" w:rsidP="009663CA">
      <w:pPr>
        <w:pStyle w:val="ConsPlusTitle"/>
        <w:contextualSpacing/>
        <w:jc w:val="center"/>
        <w:rPr>
          <w:rFonts w:ascii="PT Astra Serif" w:hAnsi="PT Astra Serif"/>
          <w:b w:val="0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Должностными лицами, уполномоченными на информирование, являются: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1)</w:t>
      </w:r>
      <w:r>
        <w:rPr>
          <w:rFonts w:ascii="PT Astra Serif" w:hAnsi="PT Astra Serif"/>
          <w:b w:val="0"/>
          <w:sz w:val="26"/>
          <w:szCs w:val="26"/>
        </w:rPr>
        <w:t xml:space="preserve"> директор 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2) заместитель </w:t>
      </w:r>
      <w:r>
        <w:rPr>
          <w:rFonts w:ascii="PT Astra Serif" w:hAnsi="PT Astra Serif"/>
          <w:b w:val="0"/>
          <w:sz w:val="26"/>
          <w:szCs w:val="26"/>
        </w:rPr>
        <w:t xml:space="preserve">директора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  <w:r w:rsidRPr="00F5647F">
        <w:rPr>
          <w:rFonts w:ascii="PT Astra Serif" w:hAnsi="PT Astra Serif"/>
          <w:b w:val="0"/>
          <w:sz w:val="26"/>
          <w:szCs w:val="26"/>
        </w:rPr>
        <w:tab/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3) </w:t>
      </w:r>
      <w:r>
        <w:rPr>
          <w:rFonts w:ascii="PT Astra Serif" w:hAnsi="PT Astra Serif"/>
          <w:b w:val="0"/>
          <w:sz w:val="26"/>
          <w:szCs w:val="26"/>
        </w:rPr>
        <w:t xml:space="preserve">сотрудники  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категории «</w:t>
      </w:r>
      <w:r>
        <w:rPr>
          <w:rFonts w:ascii="PT Astra Serif" w:hAnsi="PT Astra Serif"/>
          <w:b w:val="0"/>
          <w:sz w:val="26"/>
          <w:szCs w:val="26"/>
        </w:rPr>
        <w:t>государственные инспектора</w:t>
      </w:r>
      <w:r w:rsidRPr="00F5647F">
        <w:rPr>
          <w:rFonts w:ascii="PT Astra Serif" w:hAnsi="PT Astra Serif"/>
          <w:b w:val="0"/>
          <w:sz w:val="26"/>
          <w:szCs w:val="26"/>
        </w:rPr>
        <w:t>»</w:t>
      </w:r>
      <w:r>
        <w:rPr>
          <w:rFonts w:ascii="PT Astra Serif" w:hAnsi="PT Astra Serif"/>
          <w:b w:val="0"/>
          <w:sz w:val="26"/>
          <w:szCs w:val="26"/>
        </w:rPr>
        <w:t xml:space="preserve"> охотоведы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и </w:t>
      </w:r>
      <w:r>
        <w:rPr>
          <w:rFonts w:ascii="PT Astra Serif" w:hAnsi="PT Astra Serif"/>
          <w:b w:val="0"/>
          <w:sz w:val="26"/>
          <w:szCs w:val="26"/>
        </w:rPr>
        <w:t>ведущие охотоведы</w:t>
      </w:r>
      <w:r w:rsidRPr="00F5647F">
        <w:rPr>
          <w:rFonts w:ascii="PT Astra Serif" w:hAnsi="PT Astra Serif"/>
          <w:b w:val="0"/>
          <w:sz w:val="26"/>
          <w:szCs w:val="26"/>
        </w:rPr>
        <w:t>, в должностные обязанности которых в соответствии с должностными регламентами входит осуществление п</w:t>
      </w:r>
      <w:r>
        <w:rPr>
          <w:rFonts w:ascii="PT Astra Serif" w:hAnsi="PT Astra Serif"/>
          <w:b w:val="0"/>
          <w:sz w:val="26"/>
          <w:szCs w:val="26"/>
        </w:rPr>
        <w:t>олномочий по контролю (надзору)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4) иные должностные лица, в должностные обязанности которых </w:t>
      </w:r>
      <w:r w:rsidRPr="00F5647F">
        <w:rPr>
          <w:rFonts w:ascii="PT Astra Serif" w:eastAsiaTheme="minorHAnsi" w:hAnsi="PT Astra Serif" w:cs="PT Astra Serif"/>
          <w:b w:val="0"/>
          <w:sz w:val="26"/>
          <w:szCs w:val="26"/>
          <w:lang w:eastAsia="en-US"/>
        </w:rPr>
        <w:t xml:space="preserve">в соответствии с должностными регламентами входит осуществление полномочий по </w:t>
      </w:r>
      <w:r w:rsidRPr="00F5647F">
        <w:rPr>
          <w:rFonts w:ascii="PT Astra Serif" w:hAnsi="PT Astra Serif"/>
          <w:b w:val="0"/>
          <w:sz w:val="26"/>
          <w:szCs w:val="26"/>
        </w:rPr>
        <w:t>региональному государственному контролю (надзор) в области охраны и использования особо охраняемых природных территорий.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Информирование об осуществлении регионального государственного контроля (надзора) в области охраны и </w:t>
      </w:r>
      <w:proofErr w:type="gramStart"/>
      <w:r w:rsidRPr="00F5647F">
        <w:rPr>
          <w:rFonts w:ascii="PT Astra Serif" w:hAnsi="PT Astra Serif"/>
          <w:b w:val="0"/>
          <w:sz w:val="26"/>
          <w:szCs w:val="26"/>
        </w:rPr>
        <w:t>использования</w:t>
      </w:r>
      <w:proofErr w:type="gramEnd"/>
      <w:r w:rsidRPr="00F5647F">
        <w:rPr>
          <w:rFonts w:ascii="PT Astra Serif" w:hAnsi="PT Astra Serif"/>
          <w:b w:val="0"/>
          <w:sz w:val="26"/>
          <w:szCs w:val="26"/>
        </w:rPr>
        <w:t xml:space="preserve"> особо охраняемых природных </w:t>
      </w:r>
      <w:proofErr w:type="spellStart"/>
      <w:r w:rsidRPr="00F5647F">
        <w:rPr>
          <w:rFonts w:ascii="PT Astra Serif" w:hAnsi="PT Astra Serif"/>
          <w:b w:val="0"/>
          <w:sz w:val="26"/>
          <w:szCs w:val="26"/>
        </w:rPr>
        <w:t>территорийрегионального</w:t>
      </w:r>
      <w:proofErr w:type="spellEnd"/>
      <w:r w:rsidRPr="00F5647F">
        <w:rPr>
          <w:rFonts w:ascii="PT Astra Serif" w:hAnsi="PT Astra Serif"/>
          <w:b w:val="0"/>
          <w:sz w:val="26"/>
          <w:szCs w:val="26"/>
        </w:rPr>
        <w:t xml:space="preserve"> значения - государственных природных заказников зоологического профиля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осуществляется посредством размещения соответствующих сведений на официальном сайте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в информационно-телекоммуникационной сети «Интернет»: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5068C0">
        <w:t>(</w:t>
      </w:r>
      <w:hyperlink r:id="rId5" w:history="1">
        <w:r w:rsidRPr="00DF0487">
          <w:rPr>
            <w:rStyle w:val="a3"/>
            <w:b w:val="0"/>
          </w:rPr>
          <w:t>https://</w:t>
        </w:r>
        <w:proofErr w:type="spellStart"/>
        <w:r w:rsidRPr="00DF0487">
          <w:rPr>
            <w:rStyle w:val="a3"/>
            <w:b w:val="0"/>
            <w:lang w:val="en-US"/>
          </w:rPr>
          <w:t>ohota</w:t>
        </w:r>
        <w:proofErr w:type="spellEnd"/>
        <w:r w:rsidRPr="00DF0487">
          <w:rPr>
            <w:rStyle w:val="a3"/>
            <w:b w:val="0"/>
          </w:rPr>
          <w:t>.</w:t>
        </w:r>
        <w:r w:rsidRPr="00DF0487">
          <w:rPr>
            <w:rStyle w:val="a3"/>
            <w:b w:val="0"/>
            <w:lang w:val="en-US"/>
          </w:rPr>
          <w:t>green</w:t>
        </w:r>
        <w:r w:rsidRPr="00DF0487">
          <w:rPr>
            <w:rStyle w:val="a3"/>
            <w:b w:val="0"/>
          </w:rPr>
          <w:t>.</w:t>
        </w:r>
        <w:proofErr w:type="spellStart"/>
        <w:r w:rsidRPr="00DF0487">
          <w:rPr>
            <w:rStyle w:val="a3"/>
            <w:b w:val="0"/>
            <w:lang w:val="en-US"/>
          </w:rPr>
          <w:t>tsu</w:t>
        </w:r>
        <w:proofErr w:type="spellEnd"/>
        <w:r w:rsidRPr="00DF0487">
          <w:rPr>
            <w:rStyle w:val="a3"/>
            <w:b w:val="0"/>
          </w:rPr>
          <w:t>.</w:t>
        </w:r>
        <w:proofErr w:type="spellStart"/>
        <w:r w:rsidRPr="00DF0487">
          <w:rPr>
            <w:rStyle w:val="a3"/>
            <w:b w:val="0"/>
          </w:rPr>
          <w:t>ru</w:t>
        </w:r>
        <w:proofErr w:type="spellEnd"/>
        <w:r w:rsidRPr="00DF0487">
          <w:rPr>
            <w:rStyle w:val="a3"/>
            <w:b w:val="0"/>
          </w:rPr>
          <w:t>/</w:t>
        </w:r>
      </w:hyperlink>
      <w:r w:rsidRPr="005068C0">
        <w:t>)</w:t>
      </w:r>
      <w:r w:rsidRPr="00F5647F">
        <w:rPr>
          <w:rFonts w:ascii="PT Astra Serif" w:hAnsi="PT Astra Serif"/>
          <w:b w:val="0"/>
          <w:sz w:val="26"/>
          <w:szCs w:val="26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proofErr w:type="gramStart"/>
      <w:r w:rsidRPr="00F5647F">
        <w:rPr>
          <w:rFonts w:ascii="PT Astra Serif" w:hAnsi="PT Astra Serif"/>
          <w:b w:val="0"/>
          <w:sz w:val="26"/>
          <w:szCs w:val="26"/>
        </w:rPr>
        <w:t>формах</w:t>
      </w:r>
      <w:proofErr w:type="gramEnd"/>
      <w:r w:rsidRPr="00F5647F">
        <w:rPr>
          <w:rFonts w:ascii="PT Astra Serif" w:hAnsi="PT Astra Serif"/>
          <w:b w:val="0"/>
          <w:sz w:val="26"/>
          <w:szCs w:val="26"/>
        </w:rPr>
        <w:t>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</w:t>
      </w:r>
      <w:r>
        <w:rPr>
          <w:rFonts w:ascii="PT Astra Serif" w:hAnsi="PT Astra Serif"/>
          <w:b w:val="0"/>
          <w:sz w:val="26"/>
          <w:szCs w:val="26"/>
        </w:rPr>
        <w:t>размещает и поддерживает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в актуальном состоянии свой официальный сайт в сети «Интернет». Общее информирование осуществляется по мере необходимости. 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F5647F">
        <w:rPr>
          <w:rFonts w:ascii="PT Astra Serif" w:hAnsi="PT Astra Serif" w:cs="Times New Roman"/>
          <w:sz w:val="26"/>
          <w:szCs w:val="26"/>
        </w:rPr>
        <w:t>Обобщение правоприменительной практики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Должностным лицом, уполномоченным на реализацию обобщения правоприменительной практики, </w:t>
      </w:r>
      <w:r>
        <w:rPr>
          <w:rFonts w:ascii="PT Astra Serif" w:hAnsi="PT Astra Serif"/>
          <w:b w:val="0"/>
          <w:sz w:val="26"/>
          <w:szCs w:val="26"/>
        </w:rPr>
        <w:t xml:space="preserve">является директор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Доклад о правоприменительной практике готовится не реже одного раза в год, до 1 апреля года, следующего за отчетным годом.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Доклад о правоприменительной практике утверждается распоряжением </w:t>
      </w:r>
      <w:r>
        <w:rPr>
          <w:rFonts w:ascii="PT Astra Serif" w:hAnsi="PT Astra Serif"/>
          <w:b w:val="0"/>
          <w:sz w:val="26"/>
          <w:szCs w:val="26"/>
        </w:rPr>
        <w:t xml:space="preserve">директора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и ежегодно, до 1 апреля года, следующего за отчетным, размещается на официальном сайте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в сети «Интернет».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</w:p>
    <w:p w:rsidR="009663CA" w:rsidRPr="00F5647F" w:rsidRDefault="009663CA" w:rsidP="009663CA">
      <w:pPr>
        <w:pStyle w:val="ConsPlusTitle"/>
        <w:contextualSpacing/>
        <w:jc w:val="center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Объявление предостережения</w:t>
      </w:r>
    </w:p>
    <w:p w:rsidR="009663CA" w:rsidRPr="00F5647F" w:rsidRDefault="009663CA" w:rsidP="009663CA">
      <w:pPr>
        <w:pStyle w:val="ConsPlusTitle"/>
        <w:contextualSpacing/>
        <w:jc w:val="center"/>
        <w:rPr>
          <w:rFonts w:ascii="PT Astra Serif" w:hAnsi="PT Astra Serif"/>
          <w:b w:val="0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Должностными лицами, уполномоченными на объявление предостережений, являются: 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1) директор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2) заместитель </w:t>
      </w:r>
      <w:r>
        <w:rPr>
          <w:rFonts w:ascii="PT Astra Serif" w:hAnsi="PT Astra Serif"/>
          <w:b w:val="0"/>
          <w:sz w:val="26"/>
          <w:szCs w:val="26"/>
        </w:rPr>
        <w:t xml:space="preserve">директора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  <w:r w:rsidRPr="00F5647F">
        <w:rPr>
          <w:rFonts w:ascii="PT Astra Serif" w:hAnsi="PT Astra Serif"/>
          <w:b w:val="0"/>
          <w:sz w:val="26"/>
          <w:szCs w:val="26"/>
        </w:rPr>
        <w:tab/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3) иные должностные лица, в должностные обязанности которых </w:t>
      </w:r>
      <w:r w:rsidRPr="00F5647F">
        <w:rPr>
          <w:rFonts w:ascii="PT Astra Serif" w:eastAsiaTheme="minorHAnsi" w:hAnsi="PT Astra Serif" w:cs="PT Astra Serif"/>
          <w:b w:val="0"/>
          <w:sz w:val="26"/>
          <w:szCs w:val="26"/>
          <w:lang w:eastAsia="en-US"/>
        </w:rPr>
        <w:t xml:space="preserve">в соответствии с должностными регламентами входит осуществление полномочий по </w:t>
      </w:r>
      <w:r w:rsidRPr="00F5647F">
        <w:rPr>
          <w:rFonts w:ascii="PT Astra Serif" w:hAnsi="PT Astra Serif"/>
          <w:b w:val="0"/>
          <w:sz w:val="26"/>
          <w:szCs w:val="26"/>
        </w:rPr>
        <w:t>региональному государственному контролю (надзор) в области охраны и использования особо охраняемых природных территорий.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Предостережение объявляется и направляется контролируемому лицу в случае наличия у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»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сведений о готовящихся нарушениях 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lastRenderedPageBreak/>
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Учет объявленных </w:t>
      </w:r>
      <w:r w:rsidRPr="00F5647F">
        <w:rPr>
          <w:rFonts w:ascii="PT Astra Serif" w:hAnsi="PT Astra Serif"/>
          <w:sz w:val="26"/>
          <w:szCs w:val="26"/>
        </w:rPr>
        <w:t>предостережений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осуществляется путем внесения сведений о них в журнал учета </w:t>
      </w:r>
      <w:r w:rsidRPr="00F5647F">
        <w:rPr>
          <w:rFonts w:ascii="PT Astra Serif" w:hAnsi="PT Astra Serif"/>
          <w:sz w:val="26"/>
          <w:szCs w:val="26"/>
        </w:rPr>
        <w:t xml:space="preserve">предостережений 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(на бумажном носителе либо в электронном виде), должностными лицами, уполномоченными на осуществление </w:t>
      </w:r>
      <w:r w:rsidRPr="00F5647F">
        <w:rPr>
          <w:rFonts w:ascii="PT Astra Serif" w:hAnsi="PT Astra Serif"/>
          <w:sz w:val="26"/>
          <w:szCs w:val="26"/>
        </w:rPr>
        <w:t>объявлений предостережений</w:t>
      </w:r>
      <w:r w:rsidRPr="001942F3">
        <w:rPr>
          <w:rFonts w:ascii="PT Astra Serif" w:eastAsia="Times New Roman" w:hAnsi="PT Astra Serif" w:cs="Times New Roman"/>
          <w:sz w:val="26"/>
          <w:szCs w:val="26"/>
        </w:rPr>
        <w:t>. В указанный журнал подлежат внесению следующие сведения: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1. Реквизиты предостережения.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2. Контролируемое лицо.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3. Адрес контролируемого лица, объекта контроля.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4. Основания для объявления предостережения.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5. Ответственное лицо за </w:t>
      </w:r>
      <w:r w:rsidRPr="00F5647F">
        <w:rPr>
          <w:rFonts w:ascii="PT Astra Serif" w:hAnsi="PT Astra Serif"/>
          <w:sz w:val="26"/>
          <w:szCs w:val="26"/>
        </w:rPr>
        <w:t>объявление предостережения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F5647F">
        <w:rPr>
          <w:rFonts w:ascii="PT Astra Serif" w:hAnsi="PT Astra Serif" w:cs="PT Astra Serif"/>
          <w:sz w:val="26"/>
          <w:szCs w:val="26"/>
        </w:rPr>
        <w:t>Консультирование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Должностными лицами, уполномоченными на осуществление консультирования, являются: 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1) директор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; 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2) заместитель </w:t>
      </w:r>
      <w:r>
        <w:rPr>
          <w:rFonts w:ascii="PT Astra Serif" w:hAnsi="PT Astra Serif"/>
          <w:b w:val="0"/>
          <w:sz w:val="26"/>
          <w:szCs w:val="26"/>
        </w:rPr>
        <w:t xml:space="preserve">директора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  <w:r w:rsidRPr="00F5647F">
        <w:rPr>
          <w:rFonts w:ascii="PT Astra Serif" w:hAnsi="PT Astra Serif"/>
          <w:b w:val="0"/>
          <w:sz w:val="26"/>
          <w:szCs w:val="26"/>
        </w:rPr>
        <w:tab/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3)</w:t>
      </w:r>
      <w:r w:rsidRPr="00F5647F">
        <w:rPr>
          <w:rFonts w:ascii="PT Astra Serif" w:hAnsi="PT Astra Serif"/>
          <w:b w:val="0"/>
          <w:sz w:val="26"/>
          <w:szCs w:val="26"/>
        </w:rPr>
        <w:tab/>
      </w:r>
      <w:r>
        <w:rPr>
          <w:rFonts w:ascii="PT Astra Serif" w:hAnsi="PT Astra Serif"/>
          <w:b w:val="0"/>
          <w:sz w:val="26"/>
          <w:szCs w:val="26"/>
        </w:rPr>
        <w:t xml:space="preserve">сотрудники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»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категории «</w:t>
      </w:r>
      <w:r>
        <w:rPr>
          <w:rFonts w:ascii="PT Astra Serif" w:hAnsi="PT Astra Serif"/>
          <w:b w:val="0"/>
          <w:sz w:val="26"/>
          <w:szCs w:val="26"/>
        </w:rPr>
        <w:t>государственные инспектора</w:t>
      </w:r>
      <w:r w:rsidRPr="00F5647F">
        <w:rPr>
          <w:rFonts w:ascii="PT Astra Serif" w:hAnsi="PT Astra Serif"/>
          <w:b w:val="0"/>
          <w:sz w:val="26"/>
          <w:szCs w:val="26"/>
        </w:rPr>
        <w:t>»</w:t>
      </w:r>
      <w:r>
        <w:rPr>
          <w:rFonts w:ascii="PT Astra Serif" w:hAnsi="PT Astra Serif"/>
          <w:b w:val="0"/>
          <w:sz w:val="26"/>
          <w:szCs w:val="26"/>
        </w:rPr>
        <w:t xml:space="preserve"> охотоведы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и </w:t>
      </w:r>
      <w:r>
        <w:rPr>
          <w:rFonts w:ascii="PT Astra Serif" w:hAnsi="PT Astra Serif"/>
          <w:b w:val="0"/>
          <w:sz w:val="26"/>
          <w:szCs w:val="26"/>
        </w:rPr>
        <w:t>ведущие охотоведы</w:t>
      </w:r>
      <w:r w:rsidRPr="00F5647F">
        <w:rPr>
          <w:rFonts w:ascii="PT Astra Serif" w:hAnsi="PT Astra Serif"/>
          <w:b w:val="0"/>
          <w:sz w:val="26"/>
          <w:szCs w:val="26"/>
        </w:rPr>
        <w:t>, в должностные обязанности которых в соответствии с должностными регламентами входит осуществление п</w:t>
      </w:r>
      <w:r>
        <w:rPr>
          <w:rFonts w:ascii="PT Astra Serif" w:hAnsi="PT Astra Serif"/>
          <w:b w:val="0"/>
          <w:sz w:val="26"/>
          <w:szCs w:val="26"/>
        </w:rPr>
        <w:t>олномочий по контролю (надзору)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4) иные должностные лица, в должностные обязанности которых </w:t>
      </w:r>
      <w:r w:rsidRPr="00F5647F">
        <w:rPr>
          <w:rFonts w:ascii="PT Astra Serif" w:eastAsiaTheme="minorHAnsi" w:hAnsi="PT Astra Serif" w:cs="PT Astra Serif"/>
          <w:b w:val="0"/>
          <w:sz w:val="26"/>
          <w:szCs w:val="26"/>
          <w:lang w:eastAsia="en-US"/>
        </w:rPr>
        <w:t xml:space="preserve">в соответствии с должностными регламентами входит осуществление полномочий по </w:t>
      </w:r>
      <w:r w:rsidRPr="00F5647F">
        <w:rPr>
          <w:rFonts w:ascii="PT Astra Serif" w:hAnsi="PT Astra Serif"/>
          <w:b w:val="0"/>
          <w:sz w:val="26"/>
          <w:szCs w:val="26"/>
        </w:rPr>
        <w:t>региональному государственному контролю (надзор) в области охраны и использования особо охраняемых природных территорий.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Консультирование, в том числе письменное консультирование, осуществляется по следующим вопросам: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1) о порядке проведения контрольных мероприятий;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2) о перечне актов, регулирующих осуществление регионального контроля на </w:t>
      </w:r>
      <w:proofErr w:type="spellStart"/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ООПТ</w:t>
      </w:r>
      <w:proofErr w:type="spellEnd"/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3) о месте нахождения и графике работы органа контроля (надзора);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4) о периодичности проведения контрольных мероприятий;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5) о порядке принятия решений по итогам контрольных мероприятий;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6) о порядке обжалования решений органа контроля (надзора), действий (бездействия) его должностных лиц;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F5647F">
        <w:rPr>
          <w:rFonts w:ascii="PT Astra Serif" w:eastAsia="Calibri" w:hAnsi="PT Astra Serif" w:cs="PT Astra Serif"/>
          <w:sz w:val="26"/>
          <w:szCs w:val="26"/>
          <w:lang w:eastAsia="en-US"/>
        </w:rPr>
        <w:t>7) о соблюдении обязательных требований в области охраны окружающей среды.</w:t>
      </w:r>
    </w:p>
    <w:p w:rsidR="009663CA" w:rsidRPr="001942F3" w:rsidRDefault="009663CA" w:rsidP="009663CA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1942F3">
        <w:rPr>
          <w:rFonts w:ascii="PT Astra Serif" w:eastAsia="Times New Roman" w:hAnsi="PT Astra Serif" w:cs="Times New Roman"/>
          <w:sz w:val="26"/>
          <w:szCs w:val="26"/>
        </w:rPr>
        <w:t>Учет консультирования производится путем их регистрации в журнале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1942F3">
        <w:rPr>
          <w:rFonts w:ascii="PT Astra Serif" w:eastAsia="Times New Roman" w:hAnsi="PT Astra Serif" w:cs="Times New Roman"/>
          <w:sz w:val="26"/>
          <w:szCs w:val="26"/>
        </w:rPr>
        <w:t>консультаций (на бумажном носителе либо в электронном виде), должностными лицами, уполномоченными на осуществление консультирований.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1942F3">
        <w:rPr>
          <w:rFonts w:ascii="PT Astra Serif" w:eastAsia="Times New Roman" w:hAnsi="PT Astra Serif" w:cs="Times New Roman"/>
          <w:sz w:val="26"/>
          <w:szCs w:val="26"/>
        </w:rPr>
        <w:t>В журнале консультаций указываются следующие сведения: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1. Дата консультирования.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2. Фамилия, имя, отчество (последнее – при наличии) </w:t>
      </w:r>
      <w:proofErr w:type="gramStart"/>
      <w:r w:rsidRPr="00F5647F">
        <w:rPr>
          <w:rFonts w:ascii="PT Astra Serif" w:eastAsia="Times New Roman" w:hAnsi="PT Astra Serif" w:cs="Times New Roman"/>
          <w:sz w:val="26"/>
          <w:szCs w:val="26"/>
        </w:rPr>
        <w:t>обратившегося</w:t>
      </w:r>
      <w:proofErr w:type="gramEnd"/>
      <w:r w:rsidRPr="00F5647F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3. Номер телефона, адрес электронной почты обратившегося (при наличии).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4. Тема обращения.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5. Ответственное лицо за консультирование.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F5647F">
        <w:rPr>
          <w:rFonts w:ascii="PT Astra Serif" w:hAnsi="PT Astra Serif"/>
          <w:sz w:val="26"/>
          <w:szCs w:val="26"/>
        </w:rPr>
        <w:t>Профилактический визит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В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, уполномоченным на проведение профилактического визита, является </w:t>
      </w:r>
      <w:r>
        <w:rPr>
          <w:rFonts w:ascii="PT Astra Serif" w:hAnsi="PT Astra Serif"/>
          <w:b w:val="0"/>
          <w:sz w:val="26"/>
          <w:szCs w:val="26"/>
        </w:rPr>
        <w:t>отдел охраны заказников и государственного экологического надзора</w:t>
      </w:r>
      <w:r w:rsidRPr="00F5647F">
        <w:rPr>
          <w:rFonts w:ascii="PT Astra Serif" w:hAnsi="PT Astra Serif"/>
          <w:b w:val="0"/>
          <w:sz w:val="26"/>
          <w:szCs w:val="26"/>
        </w:rPr>
        <w:t>.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Должностными лицами, уполномоченными на проведение профилактического визита, являются: 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>1)</w:t>
      </w:r>
      <w:r>
        <w:rPr>
          <w:rFonts w:ascii="PT Astra Serif" w:hAnsi="PT Astra Serif"/>
          <w:b w:val="0"/>
          <w:sz w:val="26"/>
          <w:szCs w:val="26"/>
        </w:rPr>
        <w:t xml:space="preserve"> директор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2) заместитель </w:t>
      </w:r>
      <w:r>
        <w:rPr>
          <w:rFonts w:ascii="PT Astra Serif" w:hAnsi="PT Astra Serif"/>
          <w:b w:val="0"/>
          <w:sz w:val="26"/>
          <w:szCs w:val="26"/>
        </w:rPr>
        <w:t xml:space="preserve">директора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  <w:r w:rsidRPr="00F5647F">
        <w:rPr>
          <w:rFonts w:ascii="PT Astra Serif" w:hAnsi="PT Astra Serif"/>
          <w:b w:val="0"/>
          <w:sz w:val="26"/>
          <w:szCs w:val="26"/>
        </w:rPr>
        <w:tab/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3)сотрудники 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ОГБУ</w:t>
      </w:r>
      <w:proofErr w:type="spellEnd"/>
      <w:r>
        <w:rPr>
          <w:rFonts w:ascii="PT Astra Serif" w:hAnsi="PT Astra Serif"/>
          <w:b w:val="0"/>
          <w:sz w:val="26"/>
          <w:szCs w:val="26"/>
        </w:rPr>
        <w:t xml:space="preserve"> «</w:t>
      </w:r>
      <w:proofErr w:type="spellStart"/>
      <w:r>
        <w:rPr>
          <w:rFonts w:ascii="PT Astra Serif" w:hAnsi="PT Astra Serif"/>
          <w:b w:val="0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/>
          <w:b w:val="0"/>
          <w:sz w:val="26"/>
          <w:szCs w:val="26"/>
        </w:rPr>
        <w:t>»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категории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F5647F">
        <w:rPr>
          <w:rFonts w:ascii="PT Astra Serif" w:hAnsi="PT Astra Serif"/>
          <w:b w:val="0"/>
          <w:sz w:val="26"/>
          <w:szCs w:val="26"/>
        </w:rPr>
        <w:t>«</w:t>
      </w:r>
      <w:r>
        <w:rPr>
          <w:rFonts w:ascii="PT Astra Serif" w:hAnsi="PT Astra Serif"/>
          <w:b w:val="0"/>
          <w:sz w:val="26"/>
          <w:szCs w:val="26"/>
        </w:rPr>
        <w:t>государственный инспектор</w:t>
      </w:r>
      <w:r w:rsidRPr="00F5647F">
        <w:rPr>
          <w:rFonts w:ascii="PT Astra Serif" w:hAnsi="PT Astra Serif"/>
          <w:b w:val="0"/>
          <w:sz w:val="26"/>
          <w:szCs w:val="26"/>
        </w:rPr>
        <w:t>»</w:t>
      </w:r>
      <w:r>
        <w:rPr>
          <w:rFonts w:ascii="PT Astra Serif" w:hAnsi="PT Astra Serif"/>
          <w:b w:val="0"/>
          <w:sz w:val="26"/>
          <w:szCs w:val="26"/>
        </w:rPr>
        <w:t xml:space="preserve"> охотоведы</w:t>
      </w:r>
      <w:r w:rsidRPr="00F5647F">
        <w:rPr>
          <w:rFonts w:ascii="PT Astra Serif" w:hAnsi="PT Astra Serif"/>
          <w:b w:val="0"/>
          <w:sz w:val="26"/>
          <w:szCs w:val="26"/>
        </w:rPr>
        <w:t xml:space="preserve"> и </w:t>
      </w:r>
      <w:r>
        <w:rPr>
          <w:rFonts w:ascii="PT Astra Serif" w:hAnsi="PT Astra Serif"/>
          <w:b w:val="0"/>
          <w:sz w:val="26"/>
          <w:szCs w:val="26"/>
        </w:rPr>
        <w:t>ведущие охотоведы</w:t>
      </w:r>
      <w:r w:rsidRPr="00F5647F">
        <w:rPr>
          <w:rFonts w:ascii="PT Astra Serif" w:hAnsi="PT Astra Serif"/>
          <w:b w:val="0"/>
          <w:sz w:val="26"/>
          <w:szCs w:val="26"/>
        </w:rPr>
        <w:t>, в должностные обязанности которых в соответствии с должностными регламентами входит осуществление п</w:t>
      </w:r>
      <w:r>
        <w:rPr>
          <w:rFonts w:ascii="PT Astra Serif" w:hAnsi="PT Astra Serif"/>
          <w:b w:val="0"/>
          <w:sz w:val="26"/>
          <w:szCs w:val="26"/>
        </w:rPr>
        <w:t>олномочий по контролю (надзору)</w:t>
      </w:r>
      <w:r w:rsidRPr="00F5647F">
        <w:rPr>
          <w:rFonts w:ascii="PT Astra Serif" w:hAnsi="PT Astra Serif"/>
          <w:b w:val="0"/>
          <w:sz w:val="26"/>
          <w:szCs w:val="26"/>
        </w:rPr>
        <w:t>;</w:t>
      </w:r>
    </w:p>
    <w:p w:rsidR="009663CA" w:rsidRPr="00F5647F" w:rsidRDefault="009663CA" w:rsidP="009663CA">
      <w:pPr>
        <w:pStyle w:val="ConsPlusTitle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5647F">
        <w:rPr>
          <w:rFonts w:ascii="PT Astra Serif" w:hAnsi="PT Astra Serif"/>
          <w:b w:val="0"/>
          <w:sz w:val="26"/>
          <w:szCs w:val="26"/>
        </w:rPr>
        <w:t xml:space="preserve">4) иные должностные лица, в должностные обязанности которых </w:t>
      </w:r>
      <w:r w:rsidRPr="00F5647F">
        <w:rPr>
          <w:rFonts w:ascii="PT Astra Serif" w:eastAsiaTheme="minorHAnsi" w:hAnsi="PT Astra Serif" w:cs="PT Astra Serif"/>
          <w:b w:val="0"/>
          <w:sz w:val="26"/>
          <w:szCs w:val="26"/>
          <w:lang w:eastAsia="en-US"/>
        </w:rPr>
        <w:t xml:space="preserve">в соответствии с должностными регламентами входит осуществление полномочий по </w:t>
      </w:r>
      <w:r w:rsidRPr="00F5647F">
        <w:rPr>
          <w:rFonts w:ascii="PT Astra Serif" w:hAnsi="PT Astra Serif"/>
          <w:b w:val="0"/>
          <w:sz w:val="26"/>
          <w:szCs w:val="26"/>
        </w:rPr>
        <w:t>региональному государственному контролю (надзор) в области охраны и использования особо охраняемых природных территорий.</w:t>
      </w:r>
    </w:p>
    <w:p w:rsidR="009663CA" w:rsidRPr="0046362C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hAnsi="PT Astra Serif" w:cs="Times New Roman"/>
          <w:sz w:val="26"/>
          <w:szCs w:val="26"/>
        </w:rPr>
      </w:pPr>
      <w:r w:rsidRPr="0046362C">
        <w:rPr>
          <w:rFonts w:ascii="PT Astra Serif" w:eastAsia="Times New Roman" w:hAnsi="PT Astra Serif" w:cs="Times New Roman"/>
          <w:sz w:val="26"/>
          <w:szCs w:val="26"/>
        </w:rPr>
        <w:t xml:space="preserve">Профилактический визит должен проводиться </w:t>
      </w:r>
      <w:r w:rsidRPr="0046362C">
        <w:rPr>
          <w:rFonts w:ascii="PT Astra Serif" w:hAnsi="PT Astra Serif" w:cs="Times New Roman"/>
          <w:sz w:val="26"/>
          <w:szCs w:val="26"/>
        </w:rPr>
        <w:t>не реже 1 раза в два года, а также по обращению контролируемых лиц.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Профилактический визит проводится инспектором в форме профилактической беседы по месту </w:t>
      </w:r>
      <w:r w:rsidRPr="00131729">
        <w:rPr>
          <w:rFonts w:ascii="PT Astra Serif" w:eastAsia="Times New Roman" w:hAnsi="PT Astra Serif" w:cs="Times New Roman"/>
          <w:sz w:val="26"/>
          <w:szCs w:val="26"/>
        </w:rPr>
        <w:t>осуществления деятельности контролируемого лица, либо путем использования видео-конференц-связи.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Обязательные профилактические визиты проводятся в отношении: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1) объектов контроля, отнесенных к категориям высокого и значительного риска;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2) контролируемых лиц, приступающих к осуществлению деятельности в отношении объектов контроля, отнесенных к категориям высокого и значительного риска.</w:t>
      </w: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5647F">
        <w:rPr>
          <w:rFonts w:ascii="PT Astra Serif" w:hAnsi="PT Astra Serif" w:cs="PT Astra Serif"/>
          <w:sz w:val="26"/>
          <w:szCs w:val="26"/>
        </w:rPr>
        <w:t>В ходе профилактического   визита   может   осуществляться   сбор   сведений, необходимых для отнесения объектов контроля к категориям риска.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F5647F">
        <w:rPr>
          <w:rFonts w:ascii="PT Astra Serif" w:hAnsi="PT Astra Serif" w:cs="PT Astra Serif"/>
          <w:sz w:val="26"/>
          <w:szCs w:val="26"/>
        </w:rPr>
        <w:t xml:space="preserve">Должностные    лица    </w:t>
      </w:r>
      <w:proofErr w:type="spellStart"/>
      <w:r>
        <w:rPr>
          <w:rFonts w:ascii="PT Astra Serif" w:hAnsi="PT Astra Serif" w:cs="PT Astra Serif"/>
          <w:sz w:val="26"/>
          <w:szCs w:val="26"/>
        </w:rPr>
        <w:t>ОГБУ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«</w:t>
      </w:r>
      <w:proofErr w:type="spellStart"/>
      <w:r>
        <w:rPr>
          <w:rFonts w:ascii="PT Astra Serif" w:hAnsi="PT Astra Serif" w:cs="PT Astra Serif"/>
          <w:sz w:val="26"/>
          <w:szCs w:val="26"/>
        </w:rPr>
        <w:t>Облохотуправление</w:t>
      </w:r>
      <w:proofErr w:type="spellEnd"/>
      <w:r>
        <w:rPr>
          <w:rFonts w:ascii="PT Astra Serif" w:hAnsi="PT Astra Serif" w:cs="PT Astra Serif"/>
          <w:sz w:val="26"/>
          <w:szCs w:val="26"/>
        </w:rPr>
        <w:t>»</w:t>
      </w:r>
      <w:r w:rsidRPr="00F5647F">
        <w:rPr>
          <w:rFonts w:ascii="PT Astra Serif" w:hAnsi="PT Astra Serif" w:cs="PT Astra Serif"/>
          <w:sz w:val="26"/>
          <w:szCs w:val="26"/>
        </w:rPr>
        <w:t xml:space="preserve">, уполномоченные    на проведение    государственного    контроля (надзора), предлагают проведение   профилактического   визита   лицам, приступающим   к осуществлению деятельности в области охраны и </w:t>
      </w:r>
      <w:proofErr w:type="gramStart"/>
      <w:r w:rsidRPr="00F5647F">
        <w:rPr>
          <w:rFonts w:ascii="PT Astra Serif" w:hAnsi="PT Astra Serif" w:cs="PT Astra Serif"/>
          <w:sz w:val="26"/>
          <w:szCs w:val="26"/>
        </w:rPr>
        <w:t>использования</w:t>
      </w:r>
      <w:proofErr w:type="gramEnd"/>
      <w:r w:rsidRPr="00F5647F">
        <w:rPr>
          <w:rFonts w:ascii="PT Astra Serif" w:hAnsi="PT Astra Serif" w:cs="PT Astra Serif"/>
          <w:sz w:val="26"/>
          <w:szCs w:val="26"/>
        </w:rPr>
        <w:t xml:space="preserve"> особо охраняемых природных территорий не позднее, чем в течение одного года с момента ее начала.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F5647F">
        <w:rPr>
          <w:rFonts w:ascii="PT Astra Serif" w:hAnsi="PT Astra Serif" w:cs="PT Astra Serif"/>
          <w:sz w:val="26"/>
          <w:szCs w:val="26"/>
        </w:rPr>
        <w:t xml:space="preserve">Обязательный   профилактический   визит   проводится   в   течение   1 рабочего   дня. 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В   случае   если   при   проведении   профилактических   мероприятий установлено, что объекты надзора представляют явную непосредственную  угрозу  причинения  вреда  (ущерба)  охраняемым законом  ценностям  или  такой  вред  (ущерб)  причинен,  должностное лицо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»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незамедлительно направляет информацию об этом  </w:t>
      </w:r>
      <w:r>
        <w:rPr>
          <w:rFonts w:ascii="PT Astra Serif" w:eastAsia="Times New Roman" w:hAnsi="PT Astra Serif" w:cs="Times New Roman"/>
          <w:sz w:val="26"/>
          <w:szCs w:val="26"/>
        </w:rPr>
        <w:t>директору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 (заместителю  </w:t>
      </w:r>
      <w:r>
        <w:rPr>
          <w:rFonts w:ascii="PT Astra Serif" w:eastAsia="Times New Roman" w:hAnsi="PT Astra Serif" w:cs="Times New Roman"/>
          <w:sz w:val="26"/>
          <w:szCs w:val="26"/>
        </w:rPr>
        <w:t>директора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)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»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, которые   являются   уполномоченными   на   принятие   решений   о проведении  контрольных  (надзорных)  мероприятий,  для  принятия решения о проведении контрольных (надзорных) мероприятий. </w:t>
      </w:r>
      <w:proofErr w:type="gramEnd"/>
    </w:p>
    <w:p w:rsidR="009663CA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F5647F">
        <w:rPr>
          <w:rFonts w:ascii="PT Astra Serif" w:eastAsia="Times New Roman" w:hAnsi="PT Astra Serif" w:cs="Times New Roman"/>
          <w:sz w:val="26"/>
          <w:szCs w:val="26"/>
        </w:rPr>
        <w:t>позднее</w:t>
      </w:r>
      <w:proofErr w:type="gramEnd"/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чем за пять рабоч</w:t>
      </w:r>
      <w:r>
        <w:rPr>
          <w:rFonts w:ascii="PT Astra Serif" w:eastAsia="Times New Roman" w:hAnsi="PT Astra Serif" w:cs="Times New Roman"/>
          <w:sz w:val="26"/>
          <w:szCs w:val="26"/>
        </w:rPr>
        <w:t>их дней до даты его проведения.</w:t>
      </w:r>
    </w:p>
    <w:p w:rsidR="009663CA" w:rsidRPr="00664F07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664F07">
        <w:rPr>
          <w:rFonts w:ascii="PT Astra Serif" w:eastAsia="Times New Roman" w:hAnsi="PT Astra Serif" w:cs="Times New Roman"/>
          <w:sz w:val="26"/>
          <w:szCs w:val="26"/>
        </w:rPr>
        <w:t>Контролируемое лицо вправе отказаться от проведения обязательного профилактического    визита, уведомив    об    этом    контрольный (н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адзорный) орган не позднее, чем </w:t>
      </w:r>
      <w:r w:rsidRPr="00664F07">
        <w:rPr>
          <w:rFonts w:ascii="PT Astra Serif" w:eastAsia="Times New Roman" w:hAnsi="PT Astra Serif" w:cs="Times New Roman"/>
          <w:sz w:val="26"/>
          <w:szCs w:val="26"/>
        </w:rPr>
        <w:t>за  три  рабочих  дня  до  даты  его проведения.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664F07">
        <w:rPr>
          <w:rFonts w:ascii="PT Astra Serif" w:eastAsia="Times New Roman" w:hAnsi="PT Astra Serif" w:cs="Times New Roman"/>
          <w:sz w:val="26"/>
          <w:szCs w:val="26"/>
        </w:rPr>
        <w:t>Учет профилактических визитов осуществляется путем внесения сведений о них в журнал учета профилактических визитов (на бумажном носителе либо в электронном виде), должностными лицами, уполномоченными на осуществление консультирований.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lastRenderedPageBreak/>
        <w:t>В журнале учета профилактических визитов указываются следующие сведения: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1. Дата проведения профилактического визита.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2. Контролируемое лицо.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3. Адрес контролируемого лица, объекта контроля.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PT Astra Serif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4. Информация о выявлении случаев причинения </w:t>
      </w:r>
      <w:r w:rsidRPr="00F5647F">
        <w:rPr>
          <w:rFonts w:ascii="PT Astra Serif" w:eastAsia="Times New Roman" w:hAnsi="PT Astra Serif" w:cs="PT Astra Serif"/>
          <w:sz w:val="26"/>
          <w:szCs w:val="26"/>
        </w:rPr>
        <w:t>вреда (ущерба) охраняемым законом ценностям.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>5. Ответственное лицо, осуществляющее профилактический визит.</w:t>
      </w:r>
    </w:p>
    <w:p w:rsidR="009663CA" w:rsidRPr="00F5647F" w:rsidRDefault="009663CA" w:rsidP="009663CA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b/>
          <w:sz w:val="26"/>
          <w:szCs w:val="26"/>
        </w:rPr>
        <w:t>Раздел 4. Показатели результативности и эффективности программы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b/>
          <w:sz w:val="26"/>
          <w:szCs w:val="26"/>
        </w:rPr>
        <w:t>профилактики рисков причинения вреда</w:t>
      </w: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663CA" w:rsidRPr="00F5647F" w:rsidRDefault="009663CA" w:rsidP="009663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6"/>
          <w:szCs w:val="26"/>
        </w:rPr>
      </w:pP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К показателям результативности и эффективности профилактической деятельности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ОГБУ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Облохотуправление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»</w:t>
      </w:r>
      <w:r w:rsidRPr="00F5647F">
        <w:rPr>
          <w:rFonts w:ascii="PT Astra Serif" w:eastAsia="Times New Roman" w:hAnsi="PT Astra Serif" w:cs="Times New Roman"/>
          <w:sz w:val="26"/>
          <w:szCs w:val="26"/>
        </w:rPr>
        <w:t xml:space="preserve"> относятся следующие:</w:t>
      </w:r>
    </w:p>
    <w:p w:rsidR="009663CA" w:rsidRPr="00F5647F" w:rsidRDefault="009663CA" w:rsidP="009663C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24"/>
        <w:gridCol w:w="2694"/>
      </w:tblGrid>
      <w:tr w:rsidR="009663CA" w:rsidRPr="00F5647F" w:rsidTr="00AF0DF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№</w:t>
            </w:r>
          </w:p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proofErr w:type="gramStart"/>
            <w:r w:rsidRPr="00F5647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п</w:t>
            </w:r>
            <w:proofErr w:type="gramEnd"/>
            <w:r w:rsidRPr="00F5647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Величина</w:t>
            </w:r>
          </w:p>
        </w:tc>
      </w:tr>
      <w:tr w:rsidR="009663CA" w:rsidRPr="00F5647F" w:rsidTr="00AF0DFE">
        <w:trPr>
          <w:trHeight w:hRule="exact" w:val="6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Доля исполненных предостережений,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не менее </w:t>
            </w: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70%</w:t>
            </w:r>
          </w:p>
        </w:tc>
      </w:tr>
      <w:tr w:rsidR="009663CA" w:rsidRPr="00F5647F" w:rsidTr="00AF0DFE">
        <w:trPr>
          <w:trHeight w:hRule="exact" w:val="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Доля контролируемых лиц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в отношении которых проведены профилактические визиты,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не менее </w:t>
            </w: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10%</w:t>
            </w:r>
          </w:p>
        </w:tc>
      </w:tr>
      <w:tr w:rsidR="009663CA" w:rsidRPr="00F5647F" w:rsidTr="00AF0DFE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widowControl w:val="0"/>
              <w:spacing w:after="0" w:line="230" w:lineRule="exact"/>
              <w:ind w:left="22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консультированием,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CA" w:rsidRPr="00F5647F" w:rsidRDefault="009663CA" w:rsidP="00AF0DFE">
            <w:pPr>
              <w:widowControl w:val="0"/>
              <w:spacing w:after="0" w:line="277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не менее </w:t>
            </w:r>
            <w:r w:rsidRPr="00F5647F">
              <w:rPr>
                <w:rFonts w:ascii="PT Astra Serif" w:eastAsia="Times New Roman" w:hAnsi="PT Astra Serif" w:cs="Times New Roman"/>
                <w:sz w:val="26"/>
                <w:szCs w:val="26"/>
              </w:rPr>
              <w:t>90%</w:t>
            </w:r>
          </w:p>
        </w:tc>
      </w:tr>
    </w:tbl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9663CA" w:rsidRPr="00F5647F" w:rsidRDefault="009663CA" w:rsidP="00966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9663CA" w:rsidRPr="00F5647F" w:rsidRDefault="009663CA" w:rsidP="009663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9663CA" w:rsidRPr="00F5647F" w:rsidRDefault="009663CA" w:rsidP="009663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25D90" w:rsidRDefault="00325D90">
      <w:bookmarkStart w:id="0" w:name="_GoBack"/>
      <w:bookmarkEnd w:id="0"/>
    </w:p>
    <w:sectPr w:rsidR="00325D90" w:rsidSect="003C362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0"/>
    <w:rsid w:val="00325D90"/>
    <w:rsid w:val="0052007F"/>
    <w:rsid w:val="009663CA"/>
    <w:rsid w:val="009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9663CA"/>
    <w:rPr>
      <w:color w:val="0000FF"/>
      <w:u w:val="single"/>
    </w:rPr>
  </w:style>
  <w:style w:type="paragraph" w:customStyle="1" w:styleId="ConsPlusNormal">
    <w:name w:val="ConsPlusNormal"/>
    <w:link w:val="ConsPlusNormal0"/>
    <w:rsid w:val="00966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9663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663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63C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9663CA"/>
    <w:rPr>
      <w:color w:val="0000FF"/>
      <w:u w:val="single"/>
    </w:rPr>
  </w:style>
  <w:style w:type="paragraph" w:customStyle="1" w:styleId="ConsPlusNormal">
    <w:name w:val="ConsPlusNormal"/>
    <w:link w:val="ConsPlusNormal0"/>
    <w:rsid w:val="00966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9663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663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63C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ota.green.t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Газпромнефть-Восток</Company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User-2020</dc:creator>
  <cp:keywords/>
  <dc:description/>
  <cp:lastModifiedBy>User-2020</cp:lastModifiedBy>
  <cp:revision>2</cp:revision>
  <dcterms:created xsi:type="dcterms:W3CDTF">2023-10-06T06:34:00Z</dcterms:created>
  <dcterms:modified xsi:type="dcterms:W3CDTF">2023-10-06T06:51:00Z</dcterms:modified>
</cp:coreProperties>
</file>